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1224" w14:textId="77777777" w:rsidR="00D5547E" w:rsidRPr="009E51FC" w:rsidRDefault="00D5547E" w:rsidP="0AA7CCB9">
      <w:pPr>
        <w:rPr>
          <w:sz w:val="22"/>
          <w:szCs w:val="22"/>
        </w:rPr>
      </w:pPr>
    </w:p>
    <w:tbl>
      <w:tblPr>
        <w:tblW w:w="0" w:type="auto"/>
        <w:tblInd w:w="108" w:type="dxa"/>
        <w:tblLayout w:type="fixed"/>
        <w:tblLook w:val="04A0" w:firstRow="1" w:lastRow="0" w:firstColumn="1" w:lastColumn="0" w:noHBand="0" w:noVBand="1"/>
      </w:tblPr>
      <w:tblGrid>
        <w:gridCol w:w="2438"/>
        <w:gridCol w:w="6406"/>
      </w:tblGrid>
      <w:tr w:rsidR="00CE544A" w:rsidRPr="00975B07" w14:paraId="7B572BBC" w14:textId="77777777" w:rsidTr="147D9EAB">
        <w:tc>
          <w:tcPr>
            <w:tcW w:w="2438" w:type="dxa"/>
            <w:shd w:val="clear" w:color="auto" w:fill="auto"/>
          </w:tcPr>
          <w:p w14:paraId="51DADC8C" w14:textId="77777777" w:rsidR="00F445B1" w:rsidRPr="00975B07" w:rsidRDefault="6B31DD53" w:rsidP="0AA7CCB9">
            <w:pPr>
              <w:rPr>
                <w:rStyle w:val="Firstpagetablebold"/>
                <w:sz w:val="22"/>
                <w:szCs w:val="22"/>
              </w:rPr>
            </w:pPr>
            <w:r w:rsidRPr="0AA7CCB9">
              <w:rPr>
                <w:rStyle w:val="Firstpagetablebold"/>
                <w:sz w:val="22"/>
                <w:szCs w:val="22"/>
              </w:rPr>
              <w:t>To</w:t>
            </w:r>
            <w:r w:rsidR="01FD66B2" w:rsidRPr="0AA7CCB9">
              <w:rPr>
                <w:rStyle w:val="Firstpagetablebold"/>
                <w:sz w:val="22"/>
                <w:szCs w:val="22"/>
              </w:rPr>
              <w:t>:</w:t>
            </w:r>
          </w:p>
        </w:tc>
        <w:tc>
          <w:tcPr>
            <w:tcW w:w="6406" w:type="dxa"/>
            <w:shd w:val="clear" w:color="auto" w:fill="auto"/>
          </w:tcPr>
          <w:p w14:paraId="544BCF29" w14:textId="77777777" w:rsidR="00F445B1" w:rsidRPr="00F95BC9" w:rsidRDefault="5513527E" w:rsidP="0AA7CCB9">
            <w:pPr>
              <w:rPr>
                <w:rStyle w:val="Firstpagetablebold"/>
                <w:sz w:val="22"/>
                <w:szCs w:val="22"/>
              </w:rPr>
            </w:pPr>
            <w:r w:rsidRPr="0AA7CCB9">
              <w:rPr>
                <w:rStyle w:val="Firstpagetablebold"/>
                <w:sz w:val="22"/>
                <w:szCs w:val="22"/>
              </w:rPr>
              <w:t>Cabinet</w:t>
            </w:r>
          </w:p>
        </w:tc>
      </w:tr>
      <w:tr w:rsidR="00CE544A" w:rsidRPr="00975B07" w14:paraId="23DCC3CB" w14:textId="77777777" w:rsidTr="147D9EAB">
        <w:tc>
          <w:tcPr>
            <w:tcW w:w="2438" w:type="dxa"/>
            <w:shd w:val="clear" w:color="auto" w:fill="auto"/>
          </w:tcPr>
          <w:p w14:paraId="5A35D550" w14:textId="77777777" w:rsidR="00F445B1" w:rsidRPr="00975B07" w:rsidRDefault="6B31DD53" w:rsidP="0AA7CCB9">
            <w:pPr>
              <w:rPr>
                <w:rStyle w:val="Firstpagetablebold"/>
                <w:sz w:val="22"/>
                <w:szCs w:val="22"/>
              </w:rPr>
            </w:pPr>
            <w:r w:rsidRPr="0AA7CCB9">
              <w:rPr>
                <w:rStyle w:val="Firstpagetablebold"/>
                <w:sz w:val="22"/>
                <w:szCs w:val="22"/>
              </w:rPr>
              <w:t>Dat</w:t>
            </w:r>
            <w:r w:rsidR="01FD66B2" w:rsidRPr="0AA7CCB9">
              <w:rPr>
                <w:rStyle w:val="Firstpagetablebold"/>
                <w:sz w:val="22"/>
                <w:szCs w:val="22"/>
              </w:rPr>
              <w:t>e:</w:t>
            </w:r>
          </w:p>
        </w:tc>
        <w:tc>
          <w:tcPr>
            <w:tcW w:w="6406" w:type="dxa"/>
            <w:shd w:val="clear" w:color="auto" w:fill="auto"/>
          </w:tcPr>
          <w:p w14:paraId="5E454E61" w14:textId="677B5413" w:rsidR="00F445B1" w:rsidRPr="001356F1" w:rsidRDefault="00F819FC" w:rsidP="0AA7CCB9">
            <w:pPr>
              <w:rPr>
                <w:b/>
                <w:bCs/>
                <w:sz w:val="22"/>
                <w:szCs w:val="22"/>
              </w:rPr>
            </w:pPr>
            <w:r>
              <w:rPr>
                <w:rStyle w:val="normaltextrun"/>
                <w:rFonts w:cs="Arial"/>
                <w:b/>
                <w:bCs/>
                <w:sz w:val="22"/>
                <w:szCs w:val="22"/>
                <w:shd w:val="clear" w:color="auto" w:fill="FFFFFF"/>
              </w:rPr>
              <w:t>11th</w:t>
            </w:r>
            <w:r w:rsidR="2663DB8F" w:rsidRPr="0AA7CCB9">
              <w:rPr>
                <w:rStyle w:val="normaltextrun"/>
                <w:rFonts w:cs="Arial"/>
                <w:b/>
                <w:bCs/>
                <w:sz w:val="22"/>
                <w:szCs w:val="22"/>
                <w:shd w:val="clear" w:color="auto" w:fill="FFFFFF"/>
              </w:rPr>
              <w:t xml:space="preserve"> </w:t>
            </w:r>
            <w:r w:rsidR="4B169418" w:rsidRPr="0AA7CCB9">
              <w:rPr>
                <w:rStyle w:val="normaltextrun"/>
                <w:rFonts w:cs="Arial"/>
                <w:b/>
                <w:bCs/>
                <w:sz w:val="22"/>
                <w:szCs w:val="22"/>
                <w:shd w:val="clear" w:color="auto" w:fill="FFFFFF"/>
              </w:rPr>
              <w:t>December</w:t>
            </w:r>
            <w:r w:rsidR="3F22ACF8" w:rsidRPr="0AA7CCB9">
              <w:rPr>
                <w:rStyle w:val="normaltextrun"/>
                <w:rFonts w:cs="Arial"/>
                <w:b/>
                <w:bCs/>
                <w:sz w:val="22"/>
                <w:szCs w:val="22"/>
                <w:shd w:val="clear" w:color="auto" w:fill="FFFFFF"/>
              </w:rPr>
              <w:t xml:space="preserve"> 2024</w:t>
            </w:r>
            <w:r w:rsidR="3F22ACF8" w:rsidRPr="0AA7CCB9">
              <w:rPr>
                <w:rStyle w:val="eop"/>
                <w:rFonts w:cs="Arial"/>
                <w:sz w:val="22"/>
                <w:szCs w:val="22"/>
                <w:shd w:val="clear" w:color="auto" w:fill="FFFFFF"/>
              </w:rPr>
              <w:t> </w:t>
            </w:r>
          </w:p>
        </w:tc>
      </w:tr>
      <w:tr w:rsidR="00CE544A" w:rsidRPr="00975B07" w14:paraId="4D3145FC" w14:textId="77777777" w:rsidTr="147D9EAB">
        <w:tc>
          <w:tcPr>
            <w:tcW w:w="2438" w:type="dxa"/>
            <w:shd w:val="clear" w:color="auto" w:fill="auto"/>
          </w:tcPr>
          <w:p w14:paraId="67501371" w14:textId="77777777" w:rsidR="00F445B1" w:rsidRPr="00975B07" w:rsidRDefault="6B31DD53" w:rsidP="0AA7CCB9">
            <w:pPr>
              <w:rPr>
                <w:rStyle w:val="Firstpagetablebold"/>
                <w:sz w:val="22"/>
                <w:szCs w:val="22"/>
              </w:rPr>
            </w:pPr>
            <w:r w:rsidRPr="0AA7CCB9">
              <w:rPr>
                <w:rStyle w:val="Firstpagetablebold"/>
                <w:sz w:val="22"/>
                <w:szCs w:val="22"/>
              </w:rPr>
              <w:t>Report of</w:t>
            </w:r>
            <w:r w:rsidR="01FD66B2" w:rsidRPr="0AA7CCB9">
              <w:rPr>
                <w:rStyle w:val="Firstpagetablebold"/>
                <w:sz w:val="22"/>
                <w:szCs w:val="22"/>
              </w:rPr>
              <w:t>:</w:t>
            </w:r>
          </w:p>
        </w:tc>
        <w:tc>
          <w:tcPr>
            <w:tcW w:w="6406" w:type="dxa"/>
            <w:shd w:val="clear" w:color="auto" w:fill="auto"/>
          </w:tcPr>
          <w:p w14:paraId="0606C7F2" w14:textId="527B0AA3" w:rsidR="00F445B1" w:rsidRPr="001356F1" w:rsidRDefault="00AD3567" w:rsidP="0AA7CCB9">
            <w:pPr>
              <w:rPr>
                <w:rStyle w:val="Firstpagetablebold"/>
                <w:sz w:val="22"/>
                <w:szCs w:val="22"/>
              </w:rPr>
            </w:pPr>
            <w:r>
              <w:rPr>
                <w:rStyle w:val="normaltextrun"/>
                <w:rFonts w:cs="Arial"/>
                <w:b/>
                <w:bCs/>
                <w:sz w:val="22"/>
                <w:szCs w:val="22"/>
                <w:shd w:val="clear" w:color="auto" w:fill="FFFFFF"/>
              </w:rPr>
              <w:t>Executive Director of Communities and People</w:t>
            </w:r>
            <w:r w:rsidR="72BD71DF" w:rsidRPr="0AA7CCB9">
              <w:rPr>
                <w:rStyle w:val="eop"/>
                <w:rFonts w:cs="Arial"/>
                <w:sz w:val="22"/>
                <w:szCs w:val="22"/>
                <w:shd w:val="clear" w:color="auto" w:fill="FFFFFF"/>
              </w:rPr>
              <w:t> </w:t>
            </w:r>
          </w:p>
        </w:tc>
      </w:tr>
      <w:tr w:rsidR="00CE544A" w:rsidRPr="00975B07" w14:paraId="5ABCB15C" w14:textId="77777777" w:rsidTr="147D9EAB">
        <w:tc>
          <w:tcPr>
            <w:tcW w:w="2438" w:type="dxa"/>
            <w:shd w:val="clear" w:color="auto" w:fill="auto"/>
          </w:tcPr>
          <w:p w14:paraId="7656C1CA" w14:textId="77777777" w:rsidR="00F445B1" w:rsidRPr="00975B07" w:rsidRDefault="6B31DD53" w:rsidP="0AA7CCB9">
            <w:pPr>
              <w:rPr>
                <w:rStyle w:val="Firstpagetablebold"/>
                <w:sz w:val="22"/>
                <w:szCs w:val="22"/>
              </w:rPr>
            </w:pPr>
            <w:r w:rsidRPr="0AA7CCB9">
              <w:rPr>
                <w:rStyle w:val="Firstpagetablebold"/>
                <w:sz w:val="22"/>
                <w:szCs w:val="22"/>
              </w:rPr>
              <w:t xml:space="preserve">Title of Report: </w:t>
            </w:r>
          </w:p>
        </w:tc>
        <w:tc>
          <w:tcPr>
            <w:tcW w:w="6406" w:type="dxa"/>
            <w:shd w:val="clear" w:color="auto" w:fill="auto"/>
          </w:tcPr>
          <w:p w14:paraId="79555C23" w14:textId="4C3ED66C" w:rsidR="00F445B1" w:rsidRPr="001356F1" w:rsidRDefault="3F50150B" w:rsidP="0AA7CCB9">
            <w:pPr>
              <w:rPr>
                <w:rStyle w:val="normaltextrun"/>
                <w:rFonts w:cs="Arial"/>
                <w:b/>
                <w:bCs/>
                <w:sz w:val="22"/>
                <w:szCs w:val="22"/>
              </w:rPr>
            </w:pPr>
            <w:r w:rsidRPr="0AA7CCB9">
              <w:rPr>
                <w:rStyle w:val="normaltextrun"/>
                <w:rFonts w:cs="Arial"/>
                <w:b/>
                <w:bCs/>
                <w:sz w:val="22"/>
                <w:szCs w:val="22"/>
                <w:shd w:val="clear" w:color="auto" w:fill="FFFFFF"/>
              </w:rPr>
              <w:t>Reset of O</w:t>
            </w:r>
            <w:r w:rsidR="01602E1E" w:rsidRPr="0AA7CCB9">
              <w:rPr>
                <w:rStyle w:val="normaltextrun"/>
                <w:rFonts w:cs="Arial"/>
                <w:b/>
                <w:bCs/>
                <w:sz w:val="22"/>
                <w:szCs w:val="22"/>
                <w:shd w:val="clear" w:color="auto" w:fill="FFFFFF"/>
              </w:rPr>
              <w:t>xford City Council’s</w:t>
            </w:r>
            <w:r w:rsidRPr="0AA7CCB9">
              <w:rPr>
                <w:rStyle w:val="normaltextrun"/>
                <w:rFonts w:cs="Arial"/>
                <w:b/>
                <w:bCs/>
                <w:sz w:val="22"/>
                <w:szCs w:val="22"/>
                <w:shd w:val="clear" w:color="auto" w:fill="FFFFFF"/>
              </w:rPr>
              <w:t xml:space="preserve"> Approach to T</w:t>
            </w:r>
            <w:r w:rsidR="7F219A4D" w:rsidRPr="0AA7CCB9">
              <w:rPr>
                <w:rStyle w:val="normaltextrun"/>
                <w:rFonts w:cs="Arial"/>
                <w:b/>
                <w:bCs/>
                <w:sz w:val="22"/>
                <w:szCs w:val="22"/>
                <w:shd w:val="clear" w:color="auto" w:fill="FFFFFF"/>
              </w:rPr>
              <w:t xml:space="preserve">enant </w:t>
            </w:r>
            <w:r w:rsidRPr="0AA7CCB9">
              <w:rPr>
                <w:rStyle w:val="normaltextrun"/>
                <w:rFonts w:cs="Arial"/>
                <w:b/>
                <w:bCs/>
                <w:sz w:val="22"/>
                <w:szCs w:val="22"/>
                <w:shd w:val="clear" w:color="auto" w:fill="FFFFFF"/>
              </w:rPr>
              <w:t xml:space="preserve">Engagement and </w:t>
            </w:r>
            <w:r w:rsidR="01D3FDBF" w:rsidRPr="0AA7CCB9">
              <w:rPr>
                <w:rStyle w:val="normaltextrun"/>
                <w:rFonts w:cs="Arial"/>
                <w:b/>
                <w:bCs/>
                <w:sz w:val="22"/>
                <w:szCs w:val="22"/>
                <w:shd w:val="clear" w:color="auto" w:fill="FFFFFF"/>
              </w:rPr>
              <w:t xml:space="preserve">Tenancy </w:t>
            </w:r>
            <w:r w:rsidRPr="0AA7CCB9">
              <w:rPr>
                <w:rStyle w:val="normaltextrun"/>
                <w:rFonts w:cs="Arial"/>
                <w:b/>
                <w:bCs/>
                <w:sz w:val="22"/>
                <w:szCs w:val="22"/>
                <w:shd w:val="clear" w:color="auto" w:fill="FFFFFF"/>
              </w:rPr>
              <w:t>Management</w:t>
            </w:r>
          </w:p>
        </w:tc>
      </w:tr>
    </w:tbl>
    <w:p w14:paraId="13ED0000" w14:textId="77777777" w:rsidR="004F20EF" w:rsidRDefault="004F20EF" w:rsidP="0AA7CCB9">
      <w:pPr>
        <w:rPr>
          <w:sz w:val="22"/>
          <w:szCs w:val="22"/>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6EFE8584" w14:textId="77777777" w:rsidTr="147D9EAB">
        <w:tc>
          <w:tcPr>
            <w:tcW w:w="8845" w:type="dxa"/>
            <w:gridSpan w:val="2"/>
            <w:tcBorders>
              <w:bottom w:val="single" w:sz="8" w:space="0" w:color="000000" w:themeColor="text1"/>
            </w:tcBorders>
            <w:hideMark/>
          </w:tcPr>
          <w:p w14:paraId="0625B0DB" w14:textId="77777777" w:rsidR="00D5547E" w:rsidRDefault="73A476D5" w:rsidP="0AA7CCB9">
            <w:pPr>
              <w:jc w:val="center"/>
              <w:rPr>
                <w:rStyle w:val="Firstpagetablebold"/>
                <w:sz w:val="22"/>
                <w:szCs w:val="22"/>
              </w:rPr>
            </w:pPr>
            <w:r w:rsidRPr="0AA7CCB9">
              <w:rPr>
                <w:rStyle w:val="Firstpagetablebold"/>
                <w:sz w:val="22"/>
                <w:szCs w:val="22"/>
              </w:rPr>
              <w:t>Summary and r</w:t>
            </w:r>
            <w:r w:rsidR="0086FF77" w:rsidRPr="0AA7CCB9">
              <w:rPr>
                <w:rStyle w:val="Firstpagetablebold"/>
                <w:sz w:val="22"/>
                <w:szCs w:val="22"/>
              </w:rPr>
              <w:t>ecommendations</w:t>
            </w:r>
          </w:p>
        </w:tc>
      </w:tr>
      <w:tr w:rsidR="00D5547E" w14:paraId="049A3921" w14:textId="77777777" w:rsidTr="147D9EAB">
        <w:tc>
          <w:tcPr>
            <w:tcW w:w="2438" w:type="dxa"/>
            <w:tcBorders>
              <w:top w:val="single" w:sz="8" w:space="0" w:color="000000" w:themeColor="text1"/>
              <w:left w:val="single" w:sz="8" w:space="0" w:color="000000" w:themeColor="text1"/>
              <w:bottom w:val="nil"/>
              <w:right w:val="nil"/>
            </w:tcBorders>
            <w:hideMark/>
          </w:tcPr>
          <w:p w14:paraId="35550F7E" w14:textId="77777777" w:rsidR="00D5547E" w:rsidRDefault="0086FF77" w:rsidP="0AA7CCB9">
            <w:pPr>
              <w:rPr>
                <w:rStyle w:val="Firstpagetablebold"/>
                <w:sz w:val="22"/>
                <w:szCs w:val="22"/>
              </w:rPr>
            </w:pPr>
            <w:r w:rsidRPr="0AA7CCB9">
              <w:rPr>
                <w:rStyle w:val="Firstpagetablebold"/>
                <w:sz w:val="22"/>
                <w:szCs w:val="22"/>
              </w:rPr>
              <w:t>Purpose of report:</w:t>
            </w:r>
          </w:p>
        </w:tc>
        <w:tc>
          <w:tcPr>
            <w:tcW w:w="6407" w:type="dxa"/>
            <w:tcBorders>
              <w:top w:val="single" w:sz="8" w:space="0" w:color="000000" w:themeColor="text1"/>
              <w:left w:val="nil"/>
              <w:bottom w:val="nil"/>
              <w:right w:val="single" w:sz="8" w:space="0" w:color="000000" w:themeColor="text1"/>
            </w:tcBorders>
            <w:hideMark/>
          </w:tcPr>
          <w:p w14:paraId="1B40160A" w14:textId="7B2CED35" w:rsidR="00D5547E" w:rsidRPr="001356F1" w:rsidRDefault="7203C909" w:rsidP="0AA7CCB9">
            <w:pPr>
              <w:spacing w:line="259" w:lineRule="auto"/>
              <w:rPr>
                <w:rStyle w:val="normaltextrun"/>
                <w:rFonts w:cs="Arial"/>
                <w:sz w:val="22"/>
                <w:szCs w:val="22"/>
              </w:rPr>
            </w:pPr>
            <w:r w:rsidRPr="147D9EAB">
              <w:rPr>
                <w:rStyle w:val="normaltextrun"/>
                <w:rFonts w:cs="Arial"/>
                <w:sz w:val="22"/>
                <w:szCs w:val="22"/>
              </w:rPr>
              <w:t xml:space="preserve">To set out and seek approval for the </w:t>
            </w:r>
            <w:proofErr w:type="spellStart"/>
            <w:r w:rsidRPr="147D9EAB">
              <w:rPr>
                <w:rStyle w:val="normaltextrun"/>
                <w:rFonts w:cs="Arial"/>
                <w:sz w:val="22"/>
                <w:szCs w:val="22"/>
              </w:rPr>
              <w:t>reset</w:t>
            </w:r>
            <w:proofErr w:type="spellEnd"/>
            <w:r w:rsidRPr="147D9EAB">
              <w:rPr>
                <w:rStyle w:val="normaltextrun"/>
                <w:rFonts w:cs="Arial"/>
                <w:sz w:val="22"/>
                <w:szCs w:val="22"/>
              </w:rPr>
              <w:t xml:space="preserve"> of</w:t>
            </w:r>
            <w:r w:rsidR="24D33E8C" w:rsidRPr="147D9EAB">
              <w:rPr>
                <w:rStyle w:val="normaltextrun"/>
                <w:rFonts w:cs="Arial"/>
                <w:sz w:val="22"/>
                <w:szCs w:val="22"/>
              </w:rPr>
              <w:t xml:space="preserve"> the Council’s</w:t>
            </w:r>
            <w:r w:rsidRPr="147D9EAB">
              <w:rPr>
                <w:rStyle w:val="normaltextrun"/>
                <w:rFonts w:cs="Arial"/>
                <w:sz w:val="22"/>
                <w:szCs w:val="22"/>
              </w:rPr>
              <w:t xml:space="preserve"> Tenant Engagement</w:t>
            </w:r>
            <w:r w:rsidR="48EFF8D3" w:rsidRPr="147D9EAB">
              <w:rPr>
                <w:rStyle w:val="normaltextrun"/>
                <w:rFonts w:cs="Arial"/>
                <w:sz w:val="22"/>
                <w:szCs w:val="22"/>
              </w:rPr>
              <w:t xml:space="preserve"> </w:t>
            </w:r>
            <w:r w:rsidR="53D1FE23" w:rsidRPr="147D9EAB">
              <w:rPr>
                <w:rStyle w:val="normaltextrun"/>
                <w:rFonts w:cs="Arial"/>
                <w:sz w:val="22"/>
                <w:szCs w:val="22"/>
              </w:rPr>
              <w:t>work</w:t>
            </w:r>
            <w:r w:rsidR="09B2EB2E" w:rsidRPr="147D9EAB">
              <w:rPr>
                <w:rStyle w:val="normaltextrun"/>
                <w:rFonts w:cs="Arial"/>
                <w:sz w:val="22"/>
                <w:szCs w:val="22"/>
              </w:rPr>
              <w:t>,</w:t>
            </w:r>
            <w:r w:rsidR="1AF4703B" w:rsidRPr="147D9EAB">
              <w:rPr>
                <w:rStyle w:val="normaltextrun"/>
                <w:rFonts w:cs="Arial"/>
                <w:sz w:val="22"/>
                <w:szCs w:val="22"/>
              </w:rPr>
              <w:t xml:space="preserve"> in its role as a social landlord</w:t>
            </w:r>
            <w:r w:rsidR="6EA9B480" w:rsidRPr="147D9EAB">
              <w:rPr>
                <w:rStyle w:val="normaltextrun"/>
                <w:rFonts w:cs="Arial"/>
                <w:sz w:val="22"/>
                <w:szCs w:val="22"/>
              </w:rPr>
              <w:t xml:space="preserve"> and in alignment with the new Consumer Standards issued by the </w:t>
            </w:r>
            <w:r w:rsidR="3FD56085" w:rsidRPr="147D9EAB">
              <w:rPr>
                <w:rStyle w:val="normaltextrun"/>
                <w:rFonts w:cs="Arial"/>
                <w:sz w:val="22"/>
                <w:szCs w:val="22"/>
              </w:rPr>
              <w:t>Regulator for Social Housing</w:t>
            </w:r>
            <w:r w:rsidR="6EA9B480" w:rsidRPr="147D9EAB">
              <w:rPr>
                <w:rStyle w:val="normaltextrun"/>
                <w:rFonts w:cs="Arial"/>
                <w:sz w:val="22"/>
                <w:szCs w:val="22"/>
              </w:rPr>
              <w:t>.</w:t>
            </w:r>
          </w:p>
        </w:tc>
      </w:tr>
      <w:tr w:rsidR="00D5547E" w14:paraId="0E8796D9" w14:textId="77777777" w:rsidTr="147D9EAB">
        <w:tc>
          <w:tcPr>
            <w:tcW w:w="2438" w:type="dxa"/>
            <w:tcBorders>
              <w:top w:val="nil"/>
              <w:left w:val="single" w:sz="8" w:space="0" w:color="000000" w:themeColor="text1"/>
              <w:bottom w:val="nil"/>
              <w:right w:val="nil"/>
            </w:tcBorders>
            <w:hideMark/>
          </w:tcPr>
          <w:p w14:paraId="2B8E6302" w14:textId="77777777" w:rsidR="00D5547E" w:rsidRDefault="0086FF77" w:rsidP="0AA7CCB9">
            <w:pPr>
              <w:rPr>
                <w:rStyle w:val="Firstpagetablebold"/>
                <w:sz w:val="22"/>
                <w:szCs w:val="22"/>
              </w:rPr>
            </w:pPr>
            <w:r w:rsidRPr="0AA7CCB9">
              <w:rPr>
                <w:rStyle w:val="Firstpagetablebold"/>
                <w:sz w:val="22"/>
                <w:szCs w:val="22"/>
              </w:rPr>
              <w:t>Key decision:</w:t>
            </w:r>
          </w:p>
        </w:tc>
        <w:tc>
          <w:tcPr>
            <w:tcW w:w="6407" w:type="dxa"/>
            <w:tcBorders>
              <w:top w:val="nil"/>
              <w:left w:val="nil"/>
              <w:bottom w:val="nil"/>
              <w:right w:val="single" w:sz="8" w:space="0" w:color="000000" w:themeColor="text1"/>
            </w:tcBorders>
            <w:hideMark/>
          </w:tcPr>
          <w:p w14:paraId="10790A2A" w14:textId="277C70BA" w:rsidR="00D5547E" w:rsidRPr="001356F1" w:rsidRDefault="0086FF77" w:rsidP="0AA7CCB9">
            <w:pPr>
              <w:rPr>
                <w:sz w:val="22"/>
                <w:szCs w:val="22"/>
              </w:rPr>
            </w:pPr>
            <w:r w:rsidRPr="0AA7CCB9">
              <w:rPr>
                <w:sz w:val="22"/>
                <w:szCs w:val="22"/>
              </w:rPr>
              <w:t xml:space="preserve">Yes </w:t>
            </w:r>
          </w:p>
        </w:tc>
      </w:tr>
      <w:tr w:rsidR="00D5547E" w14:paraId="2C00E483" w14:textId="77777777" w:rsidTr="147D9EAB">
        <w:tc>
          <w:tcPr>
            <w:tcW w:w="2438" w:type="dxa"/>
            <w:tcBorders>
              <w:top w:val="nil"/>
              <w:left w:val="single" w:sz="8" w:space="0" w:color="000000" w:themeColor="text1"/>
              <w:bottom w:val="nil"/>
              <w:right w:val="nil"/>
            </w:tcBorders>
            <w:hideMark/>
          </w:tcPr>
          <w:p w14:paraId="02B2AF0B" w14:textId="77777777" w:rsidR="00D5547E" w:rsidRDefault="1A5BC646" w:rsidP="0AA7CCB9">
            <w:pPr>
              <w:rPr>
                <w:rStyle w:val="Firstpagetablebold"/>
                <w:sz w:val="22"/>
                <w:szCs w:val="22"/>
              </w:rPr>
            </w:pPr>
            <w:r w:rsidRPr="0AA7CCB9">
              <w:rPr>
                <w:rStyle w:val="Firstpagetablebold"/>
                <w:sz w:val="22"/>
                <w:szCs w:val="22"/>
              </w:rPr>
              <w:t>Cabinet</w:t>
            </w:r>
            <w:r w:rsidR="0086FF77" w:rsidRPr="0AA7CCB9">
              <w:rPr>
                <w:rStyle w:val="Firstpagetablebold"/>
                <w:sz w:val="22"/>
                <w:szCs w:val="22"/>
              </w:rPr>
              <w:t xml:space="preserve"> Member:</w:t>
            </w:r>
          </w:p>
        </w:tc>
        <w:tc>
          <w:tcPr>
            <w:tcW w:w="6407" w:type="dxa"/>
            <w:tcBorders>
              <w:top w:val="nil"/>
              <w:left w:val="nil"/>
              <w:bottom w:val="nil"/>
              <w:right w:val="single" w:sz="8" w:space="0" w:color="000000" w:themeColor="text1"/>
            </w:tcBorders>
            <w:hideMark/>
          </w:tcPr>
          <w:p w14:paraId="1BF1F2EB" w14:textId="6E3799E7" w:rsidR="00D5547E" w:rsidRPr="001356F1" w:rsidRDefault="3F22ACF8" w:rsidP="0AA7CCB9">
            <w:pPr>
              <w:rPr>
                <w:rStyle w:val="normaltextrun"/>
                <w:rFonts w:cs="Arial"/>
                <w:sz w:val="22"/>
                <w:szCs w:val="22"/>
              </w:rPr>
            </w:pPr>
            <w:r w:rsidRPr="0AA7CCB9">
              <w:rPr>
                <w:rStyle w:val="normaltextrun"/>
                <w:rFonts w:cs="Arial"/>
                <w:sz w:val="22"/>
                <w:szCs w:val="22"/>
                <w:shd w:val="clear" w:color="auto" w:fill="FFFFFF"/>
              </w:rPr>
              <w:t>Councillor Linda Smith</w:t>
            </w:r>
            <w:r w:rsidR="7DE6A9CE" w:rsidRPr="0AA7CCB9">
              <w:rPr>
                <w:rStyle w:val="normaltextrun"/>
                <w:rFonts w:cs="Arial"/>
                <w:sz w:val="22"/>
                <w:szCs w:val="22"/>
                <w:shd w:val="clear" w:color="auto" w:fill="FFFFFF"/>
              </w:rPr>
              <w:t>,</w:t>
            </w:r>
            <w:r w:rsidRPr="0AA7CCB9">
              <w:rPr>
                <w:rStyle w:val="normaltextrun"/>
                <w:rFonts w:cs="Arial"/>
                <w:sz w:val="22"/>
                <w:szCs w:val="22"/>
                <w:shd w:val="clear" w:color="auto" w:fill="FFFFFF"/>
              </w:rPr>
              <w:t xml:space="preserve"> Cabinet Member for Housing and Communities.</w:t>
            </w:r>
          </w:p>
        </w:tc>
      </w:tr>
      <w:tr w:rsidR="0080749A" w14:paraId="631462A6" w14:textId="77777777" w:rsidTr="147D9EAB">
        <w:tc>
          <w:tcPr>
            <w:tcW w:w="2438" w:type="dxa"/>
            <w:tcBorders>
              <w:top w:val="nil"/>
              <w:left w:val="single" w:sz="8" w:space="0" w:color="000000" w:themeColor="text1"/>
              <w:bottom w:val="nil"/>
              <w:right w:val="nil"/>
            </w:tcBorders>
          </w:tcPr>
          <w:p w14:paraId="394B367A" w14:textId="77777777" w:rsidR="0080749A" w:rsidRDefault="0DF6392A" w:rsidP="0AA7CCB9">
            <w:pPr>
              <w:rPr>
                <w:rStyle w:val="Firstpagetablebold"/>
                <w:sz w:val="22"/>
                <w:szCs w:val="22"/>
              </w:rPr>
            </w:pPr>
            <w:r w:rsidRPr="0AA7CCB9">
              <w:rPr>
                <w:rStyle w:val="Firstpagetablebold"/>
                <w:sz w:val="22"/>
                <w:szCs w:val="22"/>
              </w:rPr>
              <w:t>Corporate Priority:</w:t>
            </w:r>
          </w:p>
        </w:tc>
        <w:tc>
          <w:tcPr>
            <w:tcW w:w="6407" w:type="dxa"/>
            <w:tcBorders>
              <w:top w:val="nil"/>
              <w:left w:val="nil"/>
              <w:bottom w:val="nil"/>
              <w:right w:val="single" w:sz="8" w:space="0" w:color="000000" w:themeColor="text1"/>
            </w:tcBorders>
          </w:tcPr>
          <w:p w14:paraId="1575CBB4" w14:textId="0663AFBA" w:rsidR="0080749A" w:rsidRPr="001356F1" w:rsidRDefault="72BD71DF" w:rsidP="0AA7CCB9">
            <w:pPr>
              <w:rPr>
                <w:rStyle w:val="normaltextrun"/>
                <w:rFonts w:cs="Arial"/>
                <w:sz w:val="22"/>
                <w:szCs w:val="22"/>
              </w:rPr>
            </w:pPr>
            <w:r w:rsidRPr="0AA7CCB9">
              <w:rPr>
                <w:rStyle w:val="normaltextrun"/>
                <w:rFonts w:cs="Arial"/>
                <w:sz w:val="22"/>
                <w:szCs w:val="22"/>
                <w:shd w:val="clear" w:color="auto" w:fill="FFFFFF"/>
              </w:rPr>
              <w:t>Good, Affordable Homes, Thriving Communities.</w:t>
            </w:r>
          </w:p>
        </w:tc>
      </w:tr>
      <w:tr w:rsidR="00D5547E" w14:paraId="74283DFE" w14:textId="77777777" w:rsidTr="147D9EAB">
        <w:tc>
          <w:tcPr>
            <w:tcW w:w="2438" w:type="dxa"/>
            <w:tcBorders>
              <w:top w:val="nil"/>
              <w:left w:val="single" w:sz="8" w:space="0" w:color="000000" w:themeColor="text1"/>
              <w:bottom w:val="single" w:sz="4" w:space="0" w:color="auto"/>
              <w:right w:val="nil"/>
            </w:tcBorders>
            <w:hideMark/>
          </w:tcPr>
          <w:p w14:paraId="2019653B" w14:textId="77777777" w:rsidR="00D5547E" w:rsidRDefault="0086FF77" w:rsidP="0AA7CCB9">
            <w:pPr>
              <w:rPr>
                <w:rStyle w:val="Firstpagetablebold"/>
                <w:sz w:val="22"/>
                <w:szCs w:val="22"/>
              </w:rPr>
            </w:pPr>
            <w:r w:rsidRPr="0AA7CCB9">
              <w:rPr>
                <w:rStyle w:val="Firstpagetablebold"/>
                <w:sz w:val="22"/>
                <w:szCs w:val="22"/>
              </w:rPr>
              <w:t>Policy Framework:</w:t>
            </w:r>
          </w:p>
        </w:tc>
        <w:tc>
          <w:tcPr>
            <w:tcW w:w="6407" w:type="dxa"/>
            <w:tcBorders>
              <w:top w:val="nil"/>
              <w:left w:val="nil"/>
              <w:bottom w:val="single" w:sz="4" w:space="0" w:color="auto"/>
              <w:right w:val="single" w:sz="8" w:space="0" w:color="000000" w:themeColor="text1"/>
            </w:tcBorders>
            <w:hideMark/>
          </w:tcPr>
          <w:p w14:paraId="094D43A1" w14:textId="779C8E87" w:rsidR="00D5547E" w:rsidRPr="001356F1" w:rsidRDefault="72BD71DF" w:rsidP="0AA7CCB9">
            <w:pPr>
              <w:rPr>
                <w:rStyle w:val="normaltextrun"/>
                <w:rFonts w:cs="Arial"/>
                <w:sz w:val="22"/>
                <w:szCs w:val="22"/>
              </w:rPr>
            </w:pPr>
            <w:r w:rsidRPr="0AA7CCB9">
              <w:rPr>
                <w:rStyle w:val="normaltextrun"/>
                <w:rFonts w:cs="Arial"/>
                <w:sz w:val="22"/>
                <w:szCs w:val="22"/>
                <w:shd w:val="clear" w:color="auto" w:fill="FFFFFF"/>
              </w:rPr>
              <w:t>Housing, Homelessness and Rough Sleeping Strategy 2023-2028.</w:t>
            </w:r>
          </w:p>
        </w:tc>
      </w:tr>
    </w:tbl>
    <w:p w14:paraId="46DF368E" w14:textId="77777777" w:rsidR="00CE544A" w:rsidRDefault="00CE544A" w:rsidP="0AA7CCB9">
      <w:pPr>
        <w:rPr>
          <w:sz w:val="22"/>
          <w:szCs w:val="22"/>
        </w:rPr>
      </w:pP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26"/>
        <w:gridCol w:w="8419"/>
      </w:tblGrid>
      <w:tr w:rsidR="0097170F" w:rsidRPr="00975B07" w14:paraId="3FD39DED" w14:textId="77777777" w:rsidTr="147D9EAB">
        <w:trPr>
          <w:trHeight w:val="413"/>
        </w:trPr>
        <w:tc>
          <w:tcPr>
            <w:tcW w:w="8845" w:type="dxa"/>
            <w:gridSpan w:val="2"/>
          </w:tcPr>
          <w:p w14:paraId="7C3CB408" w14:textId="1FAD738C" w:rsidR="0097170F" w:rsidRPr="00975B07" w:rsidRDefault="66055B2B" w:rsidP="0AA7CCB9">
            <w:pPr>
              <w:rPr>
                <w:rStyle w:val="Firstpagetablebold"/>
                <w:b w:val="0"/>
                <w:sz w:val="22"/>
                <w:szCs w:val="22"/>
              </w:rPr>
            </w:pPr>
            <w:r w:rsidRPr="0AA7CCB9">
              <w:rPr>
                <w:rStyle w:val="Firstpagetablebold"/>
                <w:sz w:val="22"/>
                <w:szCs w:val="22"/>
              </w:rPr>
              <w:t>Recommendation(s</w:t>
            </w:r>
            <w:r w:rsidR="0F880E80" w:rsidRPr="0AA7CCB9">
              <w:rPr>
                <w:rStyle w:val="Firstpagetablebold"/>
                <w:sz w:val="22"/>
                <w:szCs w:val="22"/>
              </w:rPr>
              <w:t>):</w:t>
            </w:r>
            <w:r w:rsidR="0F880E80" w:rsidRPr="0AA7CCB9">
              <w:rPr>
                <w:rStyle w:val="Firstpagetablebold"/>
                <w:b w:val="0"/>
                <w:sz w:val="22"/>
                <w:szCs w:val="22"/>
              </w:rPr>
              <w:t xml:space="preserve"> That</w:t>
            </w:r>
            <w:r w:rsidRPr="0AA7CCB9">
              <w:rPr>
                <w:rStyle w:val="Firstpagetablebold"/>
                <w:b w:val="0"/>
                <w:sz w:val="22"/>
                <w:szCs w:val="22"/>
              </w:rPr>
              <w:t xml:space="preserve"> Cabinet resolves to:</w:t>
            </w:r>
          </w:p>
        </w:tc>
      </w:tr>
      <w:tr w:rsidR="0097170F" w:rsidRPr="00975B07" w14:paraId="481E6561" w14:textId="77777777" w:rsidTr="147D9EAB">
        <w:trPr>
          <w:trHeight w:val="283"/>
        </w:trPr>
        <w:tc>
          <w:tcPr>
            <w:tcW w:w="426" w:type="dxa"/>
            <w:tcBorders>
              <w:bottom w:val="nil"/>
              <w:right w:val="nil"/>
            </w:tcBorders>
          </w:tcPr>
          <w:p w14:paraId="345E733A" w14:textId="77777777" w:rsidR="0097170F" w:rsidRPr="00975B07" w:rsidRDefault="66055B2B" w:rsidP="0AA7CCB9">
            <w:pPr>
              <w:rPr>
                <w:sz w:val="22"/>
                <w:szCs w:val="22"/>
              </w:rPr>
            </w:pPr>
            <w:r w:rsidRPr="0AA7CCB9">
              <w:rPr>
                <w:sz w:val="22"/>
                <w:szCs w:val="22"/>
              </w:rPr>
              <w:t>1.</w:t>
            </w:r>
          </w:p>
        </w:tc>
        <w:tc>
          <w:tcPr>
            <w:tcW w:w="8419" w:type="dxa"/>
            <w:tcBorders>
              <w:left w:val="nil"/>
              <w:bottom w:val="nil"/>
            </w:tcBorders>
            <w:shd w:val="clear" w:color="auto" w:fill="auto"/>
          </w:tcPr>
          <w:p w14:paraId="267741A7" w14:textId="2A839114" w:rsidR="0097170F" w:rsidRPr="001356F1" w:rsidRDefault="4CEDFF8E" w:rsidP="0AA7CCB9">
            <w:pPr>
              <w:rPr>
                <w:rStyle w:val="normaltextrun"/>
                <w:rFonts w:cs="Arial"/>
                <w:sz w:val="22"/>
                <w:szCs w:val="22"/>
              </w:rPr>
            </w:pPr>
            <w:r w:rsidRPr="147D9EAB">
              <w:rPr>
                <w:rStyle w:val="normaltextrun"/>
                <w:rFonts w:cs="Arial"/>
                <w:sz w:val="22"/>
                <w:szCs w:val="22"/>
              </w:rPr>
              <w:t xml:space="preserve">To approve the adoption and implementation of the new approach to </w:t>
            </w:r>
            <w:proofErr w:type="gramStart"/>
            <w:r w:rsidRPr="147D9EAB">
              <w:rPr>
                <w:rStyle w:val="normaltextrun"/>
                <w:rFonts w:cs="Arial"/>
                <w:sz w:val="22"/>
                <w:szCs w:val="22"/>
              </w:rPr>
              <w:t>Tenant  Engagement</w:t>
            </w:r>
            <w:proofErr w:type="gramEnd"/>
            <w:r w:rsidRPr="147D9EAB">
              <w:rPr>
                <w:rStyle w:val="normaltextrun"/>
                <w:rFonts w:cs="Arial"/>
                <w:sz w:val="22"/>
                <w:szCs w:val="22"/>
              </w:rPr>
              <w:t xml:space="preserve"> as set out in this report.</w:t>
            </w:r>
          </w:p>
        </w:tc>
      </w:tr>
      <w:tr w:rsidR="0097170F" w:rsidRPr="00975B07" w14:paraId="74FC5DD8" w14:textId="77777777" w:rsidTr="147D9EAB">
        <w:trPr>
          <w:trHeight w:val="283"/>
        </w:trPr>
        <w:tc>
          <w:tcPr>
            <w:tcW w:w="426" w:type="dxa"/>
            <w:tcBorders>
              <w:top w:val="nil"/>
              <w:right w:val="nil"/>
            </w:tcBorders>
          </w:tcPr>
          <w:p w14:paraId="51241F8A" w14:textId="77777777" w:rsidR="0097170F" w:rsidRPr="00975B07" w:rsidRDefault="66055B2B" w:rsidP="0AA7CCB9">
            <w:pPr>
              <w:rPr>
                <w:sz w:val="22"/>
                <w:szCs w:val="22"/>
              </w:rPr>
            </w:pPr>
            <w:r w:rsidRPr="0AA7CCB9">
              <w:rPr>
                <w:sz w:val="22"/>
                <w:szCs w:val="22"/>
              </w:rPr>
              <w:t>2.</w:t>
            </w:r>
          </w:p>
        </w:tc>
        <w:tc>
          <w:tcPr>
            <w:tcW w:w="8419" w:type="dxa"/>
            <w:tcBorders>
              <w:top w:val="nil"/>
              <w:left w:val="nil"/>
            </w:tcBorders>
            <w:shd w:val="clear" w:color="auto" w:fill="auto"/>
          </w:tcPr>
          <w:p w14:paraId="71DAE126" w14:textId="2E415BE3" w:rsidR="0097170F" w:rsidRPr="001356F1" w:rsidRDefault="5F6BD0C0" w:rsidP="0AA7CCB9">
            <w:pPr>
              <w:rPr>
                <w:rStyle w:val="eop"/>
                <w:rFonts w:cs="Arial"/>
                <w:sz w:val="22"/>
                <w:szCs w:val="22"/>
              </w:rPr>
            </w:pPr>
            <w:r w:rsidRPr="147D9EAB">
              <w:rPr>
                <w:rStyle w:val="eop"/>
                <w:rFonts w:cs="Arial"/>
                <w:sz w:val="22"/>
                <w:szCs w:val="22"/>
              </w:rPr>
              <w:t xml:space="preserve">Delegate authority to the Executive Director of Communities and People (Interim) to </w:t>
            </w:r>
            <w:r w:rsidR="6AF4E1D5" w:rsidRPr="147D9EAB">
              <w:rPr>
                <w:rStyle w:val="eop"/>
                <w:rFonts w:cs="Arial"/>
                <w:sz w:val="22"/>
                <w:szCs w:val="22"/>
              </w:rPr>
              <w:t xml:space="preserve">make any further changes </w:t>
            </w:r>
            <w:r w:rsidR="53BA6E71" w:rsidRPr="147D9EAB">
              <w:rPr>
                <w:rStyle w:val="eop"/>
                <w:rFonts w:cs="Arial"/>
                <w:sz w:val="22"/>
                <w:szCs w:val="22"/>
              </w:rPr>
              <w:t>as necessary in line with service development and new legislation.</w:t>
            </w:r>
          </w:p>
        </w:tc>
      </w:tr>
    </w:tbl>
    <w:p w14:paraId="786E6CC7" w14:textId="77777777" w:rsidR="0097170F" w:rsidRPr="009E51FC" w:rsidRDefault="0097170F" w:rsidP="0AA7CCB9">
      <w:pPr>
        <w:rPr>
          <w:sz w:val="22"/>
          <w:szCs w:val="22"/>
        </w:rPr>
      </w:pPr>
    </w:p>
    <w:tbl>
      <w:tblPr>
        <w:tblW w:w="0" w:type="auto"/>
        <w:tblInd w:w="108" w:type="dxa"/>
        <w:tblBorders>
          <w:top w:val="single" w:sz="4" w:space="0" w:color="auto"/>
          <w:left w:val="single" w:sz="4" w:space="0" w:color="auto"/>
          <w:bottom w:val="single" w:sz="8"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2322"/>
        <w:gridCol w:w="6102"/>
      </w:tblGrid>
      <w:tr w:rsidR="00966D42" w:rsidRPr="00975B07" w14:paraId="7BFE5EAD" w14:textId="77777777" w:rsidTr="026C8499">
        <w:trPr>
          <w:trHeight w:val="889"/>
        </w:trPr>
        <w:tc>
          <w:tcPr>
            <w:tcW w:w="84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5005E1" w14:textId="77777777" w:rsidR="00966D42" w:rsidRPr="00975B07" w:rsidRDefault="150E564E" w:rsidP="0AA7CCB9">
            <w:pPr>
              <w:jc w:val="center"/>
              <w:rPr>
                <w:rStyle w:val="Firstpagetablebold"/>
                <w:sz w:val="22"/>
                <w:szCs w:val="22"/>
              </w:rPr>
            </w:pPr>
            <w:r w:rsidRPr="0AA7CCB9">
              <w:rPr>
                <w:rStyle w:val="Firstpagetablebold"/>
                <w:sz w:val="22"/>
                <w:szCs w:val="22"/>
              </w:rPr>
              <w:t>Appendices</w:t>
            </w:r>
          </w:p>
        </w:tc>
      </w:tr>
      <w:tr w:rsidR="00ED5860" w:rsidRPr="00975B07" w14:paraId="03AA3DB1" w14:textId="77777777" w:rsidTr="026C8499">
        <w:trPr>
          <w:trHeight w:val="867"/>
        </w:trPr>
        <w:tc>
          <w:tcPr>
            <w:tcW w:w="2322" w:type="dxa"/>
            <w:tcBorders>
              <w:top w:val="single" w:sz="8" w:space="0" w:color="000000" w:themeColor="text1"/>
              <w:left w:val="single" w:sz="8" w:space="0" w:color="000000" w:themeColor="text1"/>
              <w:bottom w:val="nil"/>
              <w:right w:val="nil"/>
            </w:tcBorders>
            <w:shd w:val="clear" w:color="auto" w:fill="auto"/>
          </w:tcPr>
          <w:p w14:paraId="68832029" w14:textId="25EB4FFC" w:rsidR="00ED5860" w:rsidRPr="00975B07" w:rsidRDefault="7DCEA370" w:rsidP="0AA7CCB9">
            <w:pPr>
              <w:rPr>
                <w:sz w:val="22"/>
                <w:szCs w:val="22"/>
              </w:rPr>
            </w:pPr>
            <w:r w:rsidRPr="026C8499">
              <w:rPr>
                <w:sz w:val="22"/>
                <w:szCs w:val="22"/>
              </w:rPr>
              <w:t>Appendix 1</w:t>
            </w:r>
            <w:r w:rsidR="596B7FAE" w:rsidRPr="026C8499">
              <w:rPr>
                <w:sz w:val="22"/>
                <w:szCs w:val="22"/>
              </w:rPr>
              <w:t xml:space="preserve"> – Risk</w:t>
            </w:r>
          </w:p>
        </w:tc>
        <w:tc>
          <w:tcPr>
            <w:tcW w:w="6102" w:type="dxa"/>
            <w:tcBorders>
              <w:top w:val="single" w:sz="8" w:space="0" w:color="000000" w:themeColor="text1"/>
              <w:left w:val="nil"/>
              <w:bottom w:val="nil"/>
              <w:right w:val="single" w:sz="8" w:space="0" w:color="000000" w:themeColor="text1"/>
            </w:tcBorders>
          </w:tcPr>
          <w:p w14:paraId="0975B4EA" w14:textId="5E169033" w:rsidR="00ED5860" w:rsidRPr="001356F1" w:rsidRDefault="72BD71DF" w:rsidP="0AA7CCB9">
            <w:pPr>
              <w:rPr>
                <w:rStyle w:val="eop"/>
                <w:rFonts w:cs="Arial"/>
                <w:sz w:val="22"/>
                <w:szCs w:val="22"/>
              </w:rPr>
            </w:pPr>
            <w:r w:rsidRPr="0AA7CCB9">
              <w:rPr>
                <w:rStyle w:val="normaltextrun"/>
                <w:rFonts w:cs="Arial"/>
                <w:sz w:val="22"/>
                <w:szCs w:val="22"/>
                <w:shd w:val="clear" w:color="auto" w:fill="FFFFFF"/>
              </w:rPr>
              <w:t> </w:t>
            </w:r>
            <w:r w:rsidRPr="0AA7CCB9">
              <w:rPr>
                <w:rStyle w:val="eop"/>
                <w:rFonts w:cs="Arial"/>
                <w:sz w:val="22"/>
                <w:szCs w:val="22"/>
                <w:shd w:val="clear" w:color="auto" w:fill="FFFFFF"/>
              </w:rPr>
              <w:t> </w:t>
            </w:r>
            <w:r w:rsidR="7AD29141" w:rsidRPr="0AA7CCB9">
              <w:rPr>
                <w:rStyle w:val="eop"/>
                <w:rFonts w:cs="Arial"/>
                <w:sz w:val="22"/>
                <w:szCs w:val="22"/>
                <w:shd w:val="clear" w:color="auto" w:fill="FFFFFF"/>
              </w:rPr>
              <w:t>Register</w:t>
            </w:r>
          </w:p>
        </w:tc>
      </w:tr>
      <w:tr w:rsidR="00ED5860" w:rsidRPr="00975B07" w14:paraId="2BB18F68" w14:textId="77777777" w:rsidTr="026C8499">
        <w:trPr>
          <w:trHeight w:val="889"/>
        </w:trPr>
        <w:tc>
          <w:tcPr>
            <w:tcW w:w="2322" w:type="dxa"/>
            <w:tcBorders>
              <w:top w:val="nil"/>
              <w:left w:val="single" w:sz="8" w:space="0" w:color="000000" w:themeColor="text1"/>
              <w:right w:val="nil"/>
            </w:tcBorders>
            <w:shd w:val="clear" w:color="auto" w:fill="auto"/>
          </w:tcPr>
          <w:p w14:paraId="350D6A1F" w14:textId="77777777" w:rsidR="00ED5860" w:rsidRPr="00975B07" w:rsidRDefault="43CCCB9E" w:rsidP="0AA7CCB9">
            <w:pPr>
              <w:rPr>
                <w:sz w:val="22"/>
                <w:szCs w:val="22"/>
              </w:rPr>
            </w:pPr>
            <w:r w:rsidRPr="0AA7CCB9">
              <w:rPr>
                <w:sz w:val="22"/>
                <w:szCs w:val="22"/>
              </w:rPr>
              <w:t>Appendix 2</w:t>
            </w:r>
          </w:p>
        </w:tc>
        <w:tc>
          <w:tcPr>
            <w:tcW w:w="6102" w:type="dxa"/>
            <w:tcBorders>
              <w:top w:val="nil"/>
              <w:left w:val="nil"/>
              <w:right w:val="single" w:sz="8" w:space="0" w:color="000000" w:themeColor="text1"/>
            </w:tcBorders>
          </w:tcPr>
          <w:p w14:paraId="5EACF14A" w14:textId="2175F5BE" w:rsidR="00ED5860" w:rsidRPr="001356F1" w:rsidRDefault="00ED5860" w:rsidP="0AA7CCB9">
            <w:pPr>
              <w:rPr>
                <w:rStyle w:val="eop"/>
                <w:rFonts w:cs="Arial"/>
                <w:sz w:val="22"/>
                <w:szCs w:val="22"/>
              </w:rPr>
            </w:pPr>
          </w:p>
        </w:tc>
      </w:tr>
    </w:tbl>
    <w:p w14:paraId="40D01346" w14:textId="702F6777" w:rsidR="1BCAF6C2" w:rsidRDefault="1BCAF6C2" w:rsidP="0AA7CCB9">
      <w:pPr>
        <w:pStyle w:val="Heading1"/>
        <w:rPr>
          <w:sz w:val="22"/>
          <w:szCs w:val="22"/>
        </w:rPr>
      </w:pPr>
    </w:p>
    <w:p w14:paraId="492E9F32" w14:textId="74FD609C" w:rsidR="0040736F" w:rsidRPr="001356F1" w:rsidRDefault="00F66DCA" w:rsidP="0AA7CCB9">
      <w:pPr>
        <w:pStyle w:val="Heading1"/>
        <w:rPr>
          <w:sz w:val="22"/>
          <w:szCs w:val="22"/>
        </w:rPr>
      </w:pPr>
      <w:r w:rsidRPr="0AA7CCB9">
        <w:rPr>
          <w:sz w:val="22"/>
          <w:szCs w:val="22"/>
        </w:rPr>
        <w:lastRenderedPageBreak/>
        <w:t>Introduction</w:t>
      </w:r>
    </w:p>
    <w:p w14:paraId="33D14AF5" w14:textId="13FC372C" w:rsidR="0040736F" w:rsidRPr="001356F1" w:rsidRDefault="2AFF3DBB" w:rsidP="0AA7CCB9">
      <w:pPr>
        <w:pStyle w:val="Numberedlist"/>
      </w:pPr>
      <w:r>
        <w:t>T</w:t>
      </w:r>
      <w:r w:rsidR="6A9327E0">
        <w:t xml:space="preserve">he </w:t>
      </w:r>
      <w:r w:rsidR="0A8BE2C4">
        <w:t xml:space="preserve">Council’s </w:t>
      </w:r>
      <w:r w:rsidR="4C5A0686">
        <w:t>40-year</w:t>
      </w:r>
      <w:r w:rsidR="0A8BE2C4">
        <w:t xml:space="preserve"> </w:t>
      </w:r>
      <w:r w:rsidR="6A9327E0">
        <w:t xml:space="preserve">Housing Revenue Account (HRA) Business Plan (BP), combined with the requirements of the </w:t>
      </w:r>
      <w:hyperlink r:id="rId11">
        <w:r w:rsidR="6A9327E0" w:rsidRPr="3320385D">
          <w:rPr>
            <w:rStyle w:val="Hyperlink"/>
          </w:rPr>
          <w:t>Social Housing</w:t>
        </w:r>
        <w:r w:rsidR="00CE7A39" w:rsidRPr="3320385D">
          <w:rPr>
            <w:rStyle w:val="Hyperlink"/>
          </w:rPr>
          <w:t xml:space="preserve"> Regulation </w:t>
        </w:r>
        <w:r w:rsidR="6A9327E0" w:rsidRPr="3320385D">
          <w:rPr>
            <w:rStyle w:val="Hyperlink"/>
          </w:rPr>
          <w:t xml:space="preserve">Act </w:t>
        </w:r>
        <w:r w:rsidR="00CE7A39" w:rsidRPr="3320385D">
          <w:rPr>
            <w:rStyle w:val="Hyperlink"/>
          </w:rPr>
          <w:t>2023</w:t>
        </w:r>
      </w:hyperlink>
      <w:r w:rsidR="009E556D">
        <w:t xml:space="preserve"> ( the “SHA”)</w:t>
      </w:r>
      <w:r w:rsidR="00CE7A39">
        <w:t xml:space="preserve"> </w:t>
      </w:r>
      <w:r w:rsidR="6A9327E0">
        <w:t xml:space="preserve">and its </w:t>
      </w:r>
      <w:r w:rsidR="1E9A9A3B">
        <w:t xml:space="preserve">associated </w:t>
      </w:r>
      <w:hyperlink r:id="rId12">
        <w:r w:rsidR="1E9A9A3B" w:rsidRPr="3320385D">
          <w:rPr>
            <w:rStyle w:val="Hyperlink"/>
          </w:rPr>
          <w:t>Consumer Standards</w:t>
        </w:r>
      </w:hyperlink>
      <w:r w:rsidR="1E9A9A3B">
        <w:t xml:space="preserve"> sets out the new housing legis</w:t>
      </w:r>
      <w:r w:rsidR="03B9C16C">
        <w:t>lation</w:t>
      </w:r>
      <w:r w:rsidR="003208AC">
        <w:t>,</w:t>
      </w:r>
      <w:r w:rsidR="03B9C16C">
        <w:t xml:space="preserve"> </w:t>
      </w:r>
      <w:r w:rsidR="005142EA">
        <w:t>i</w:t>
      </w:r>
      <w:r w:rsidR="4B063507">
        <w:t xml:space="preserve">nspection </w:t>
      </w:r>
      <w:r w:rsidR="03B9C16C">
        <w:t>regime</w:t>
      </w:r>
      <w:r w:rsidR="0F3364C2">
        <w:t xml:space="preserve"> </w:t>
      </w:r>
      <w:r w:rsidR="00480155">
        <w:t xml:space="preserve">and strategic financial context </w:t>
      </w:r>
      <w:r w:rsidR="0F3364C2">
        <w:t xml:space="preserve">that guides Oxford City Council as a social </w:t>
      </w:r>
      <w:r w:rsidR="063E7DD8">
        <w:t>landlord</w:t>
      </w:r>
      <w:r w:rsidR="003208AC">
        <w:t xml:space="preserve">.  The new </w:t>
      </w:r>
      <w:r w:rsidR="00276EAB">
        <w:t>c</w:t>
      </w:r>
      <w:r w:rsidR="003208AC">
        <w:t xml:space="preserve">onsumer standards are designed to protect tenants and improve the service they receive. </w:t>
      </w:r>
    </w:p>
    <w:p w14:paraId="1490110C" w14:textId="7AEE72EB" w:rsidR="62AD52FE" w:rsidRDefault="62AD52FE" w:rsidP="0AA7CCB9">
      <w:pPr>
        <w:pStyle w:val="Numberedlist"/>
        <w:rPr>
          <w:sz w:val="22"/>
          <w:szCs w:val="22"/>
        </w:rPr>
      </w:pPr>
      <w:r>
        <w:t xml:space="preserve">This is a changing landscape and one that expects </w:t>
      </w:r>
      <w:r w:rsidR="46F19056">
        <w:t xml:space="preserve">the Council </w:t>
      </w:r>
      <w:r>
        <w:t xml:space="preserve">to </w:t>
      </w:r>
      <w:r w:rsidR="108766A1">
        <w:t>engage</w:t>
      </w:r>
      <w:r>
        <w:t xml:space="preserve"> with </w:t>
      </w:r>
      <w:r w:rsidR="064AF816">
        <w:t>its</w:t>
      </w:r>
      <w:r w:rsidR="7476E94A">
        <w:t xml:space="preserve"> </w:t>
      </w:r>
      <w:r w:rsidR="3A9E7402">
        <w:t>19,500</w:t>
      </w:r>
      <w:r w:rsidR="3D842A60">
        <w:t xml:space="preserve"> </w:t>
      </w:r>
      <w:r w:rsidR="6A5120AD">
        <w:t xml:space="preserve">occupants </w:t>
      </w:r>
      <w:r>
        <w:t xml:space="preserve">across </w:t>
      </w:r>
      <w:r w:rsidR="2E77C853">
        <w:t xml:space="preserve">nearly </w:t>
      </w:r>
      <w:r>
        <w:t>8000 homes in a proactive way</w:t>
      </w:r>
      <w:r w:rsidR="069A7F65">
        <w:t>,</w:t>
      </w:r>
      <w:r>
        <w:t xml:space="preserve"> both in terms of engagement and management.</w:t>
      </w:r>
    </w:p>
    <w:p w14:paraId="1A6FD643" w14:textId="2CE38764" w:rsidR="7999D2C3" w:rsidRDefault="7999D2C3" w:rsidP="0AA7CCB9">
      <w:pPr>
        <w:pStyle w:val="Numberedlist"/>
        <w:rPr>
          <w:sz w:val="22"/>
          <w:szCs w:val="22"/>
        </w:rPr>
      </w:pPr>
      <w:r>
        <w:t xml:space="preserve">Alongside the other </w:t>
      </w:r>
      <w:r w:rsidR="00F30811">
        <w:t>December 2024 C</w:t>
      </w:r>
      <w:r w:rsidR="0064334C">
        <w:t>a</w:t>
      </w:r>
      <w:r w:rsidR="00F30811">
        <w:t xml:space="preserve">binet </w:t>
      </w:r>
      <w:r>
        <w:t xml:space="preserve">reports relating to </w:t>
      </w:r>
      <w:r w:rsidR="664EF5FF">
        <w:t xml:space="preserve">a) </w:t>
      </w:r>
      <w:r>
        <w:t xml:space="preserve">the </w:t>
      </w:r>
      <w:r w:rsidR="7E7205B0">
        <w:t xml:space="preserve">HRA </w:t>
      </w:r>
      <w:r w:rsidR="0F474093">
        <w:t>Business</w:t>
      </w:r>
      <w:r>
        <w:t xml:space="preserve"> Plan</w:t>
      </w:r>
      <w:r w:rsidR="4435C79D">
        <w:t xml:space="preserve"> and b) a</w:t>
      </w:r>
      <w:r>
        <w:t xml:space="preserve"> new </w:t>
      </w:r>
      <w:r w:rsidR="5B422E60">
        <w:t>A</w:t>
      </w:r>
      <w:r>
        <w:t xml:space="preserve">sset Management strategy and </w:t>
      </w:r>
      <w:r w:rsidR="412927FF">
        <w:t>5-year</w:t>
      </w:r>
      <w:r>
        <w:t xml:space="preserve"> </w:t>
      </w:r>
      <w:r w:rsidR="789BDEB3">
        <w:t>investment</w:t>
      </w:r>
      <w:r>
        <w:t xml:space="preserve"> programme, this report set</w:t>
      </w:r>
      <w:r w:rsidR="00480155">
        <w:t>s</w:t>
      </w:r>
      <w:r>
        <w:t xml:space="preserve"> out</w:t>
      </w:r>
      <w:r w:rsidR="41A18DA3">
        <w:t xml:space="preserve"> and </w:t>
      </w:r>
      <w:r w:rsidR="00480155">
        <w:t xml:space="preserve">seeks </w:t>
      </w:r>
      <w:r w:rsidR="41A18DA3">
        <w:t>approval for</w:t>
      </w:r>
      <w:r>
        <w:t xml:space="preserve"> a new approach to tenant engagement and tenan</w:t>
      </w:r>
      <w:r w:rsidR="5BEA9B30">
        <w:t>t</w:t>
      </w:r>
      <w:r>
        <w:t xml:space="preserve"> management</w:t>
      </w:r>
      <w:r w:rsidR="553D23CE">
        <w:t xml:space="preserve"> that will put tenants’ voice</w:t>
      </w:r>
      <w:r w:rsidR="00693D7B">
        <w:t>s</w:t>
      </w:r>
      <w:r w:rsidR="553D23CE">
        <w:t xml:space="preserve"> at the heart of our work</w:t>
      </w:r>
      <w:r w:rsidR="00D55E1F">
        <w:t xml:space="preserve"> to </w:t>
      </w:r>
      <w:r w:rsidR="553D23CE">
        <w:t>ensure our compliance with the Consumer Standards.</w:t>
      </w:r>
    </w:p>
    <w:p w14:paraId="13CAF8F8" w14:textId="77777777" w:rsidR="00335D0B" w:rsidRDefault="00335D0B" w:rsidP="0AA7CCB9">
      <w:pPr>
        <w:pStyle w:val="Numberedlist"/>
        <w:numPr>
          <w:ilvl w:val="0"/>
          <w:numId w:val="0"/>
        </w:numPr>
        <w:rPr>
          <w:b/>
          <w:bCs/>
        </w:rPr>
      </w:pPr>
    </w:p>
    <w:p w14:paraId="204DDE43" w14:textId="74175ACA" w:rsidR="585766F8" w:rsidRDefault="00AD5A83" w:rsidP="00AD5A83">
      <w:pPr>
        <w:pStyle w:val="Numberedlist"/>
        <w:numPr>
          <w:ilvl w:val="0"/>
          <w:numId w:val="0"/>
        </w:numPr>
        <w:ind w:left="567"/>
        <w:rPr>
          <w:rStyle w:val="normaltextrun"/>
          <w:rFonts w:cs="Arial"/>
          <w:b/>
          <w:bCs/>
          <w:sz w:val="22"/>
          <w:szCs w:val="22"/>
        </w:rPr>
      </w:pPr>
      <w:r>
        <w:rPr>
          <w:b/>
          <w:bCs/>
        </w:rPr>
        <w:t xml:space="preserve">Raising our </w:t>
      </w:r>
      <w:r w:rsidR="585766F8" w:rsidRPr="0AA7CCB9">
        <w:rPr>
          <w:b/>
          <w:bCs/>
        </w:rPr>
        <w:t>Tenant Engagement</w:t>
      </w:r>
    </w:p>
    <w:p w14:paraId="57B010C1" w14:textId="6382494D" w:rsidR="4056417F" w:rsidRDefault="4056417F" w:rsidP="0AA7CCB9">
      <w:pPr>
        <w:pStyle w:val="Numberedlist"/>
        <w:rPr>
          <w:rStyle w:val="normaltextrun"/>
          <w:rFonts w:cs="Arial"/>
          <w:sz w:val="22"/>
          <w:szCs w:val="22"/>
        </w:rPr>
      </w:pPr>
      <w:r>
        <w:t xml:space="preserve">Following the Grenfell tragedy, the Social Housing </w:t>
      </w:r>
      <w:r w:rsidR="0E1563F6">
        <w:t xml:space="preserve">Regulation </w:t>
      </w:r>
      <w:r>
        <w:t>Act</w:t>
      </w:r>
      <w:r w:rsidR="00693D7B">
        <w:t xml:space="preserve"> 2023 </w:t>
      </w:r>
      <w:r>
        <w:t xml:space="preserve">sought to strengthen the voice of tenants by setting out clearer </w:t>
      </w:r>
      <w:r w:rsidR="5DE4776C">
        <w:t>expectations</w:t>
      </w:r>
      <w:r>
        <w:t xml:space="preserve"> o</w:t>
      </w:r>
      <w:r w:rsidR="5277B3B8">
        <w:t>f</w:t>
      </w:r>
      <w:r>
        <w:t xml:space="preserve"> social landlord</w:t>
      </w:r>
      <w:r w:rsidR="6F6E95D0">
        <w:t>s</w:t>
      </w:r>
      <w:r w:rsidR="33F0F969">
        <w:t xml:space="preserve">.  The </w:t>
      </w:r>
      <w:hyperlink r:id="rId13">
        <w:r w:rsidR="3F623F22" w:rsidRPr="175947BA">
          <w:rPr>
            <w:rStyle w:val="Hyperlink"/>
          </w:rPr>
          <w:t>T</w:t>
        </w:r>
        <w:r w:rsidR="33F0F969" w:rsidRPr="175947BA">
          <w:rPr>
            <w:rStyle w:val="Hyperlink"/>
          </w:rPr>
          <w:t xml:space="preserve">ransparency, </w:t>
        </w:r>
        <w:r w:rsidR="00693D7B" w:rsidRPr="175947BA">
          <w:rPr>
            <w:rStyle w:val="Hyperlink"/>
          </w:rPr>
          <w:t xml:space="preserve">Influence and Accountability </w:t>
        </w:r>
        <w:r w:rsidR="285D13C2" w:rsidRPr="175947BA">
          <w:rPr>
            <w:rStyle w:val="Hyperlink"/>
          </w:rPr>
          <w:t>S</w:t>
        </w:r>
        <w:r w:rsidR="33F0F969" w:rsidRPr="175947BA">
          <w:rPr>
            <w:rStyle w:val="Hyperlink"/>
          </w:rPr>
          <w:t>tandard</w:t>
        </w:r>
      </w:hyperlink>
      <w:r w:rsidR="137F3605">
        <w:t xml:space="preserve"> </w:t>
      </w:r>
      <w:r w:rsidR="33F0F969">
        <w:t>requires the landlord to be open with tenants</w:t>
      </w:r>
      <w:r w:rsidR="00693D7B">
        <w:t xml:space="preserve"> and</w:t>
      </w:r>
      <w:r w:rsidR="00953700">
        <w:t xml:space="preserve"> </w:t>
      </w:r>
      <w:r w:rsidR="33F0F969">
        <w:t xml:space="preserve">treat them with fairness and respect so that they can access services, </w:t>
      </w:r>
      <w:r w:rsidR="4A92B97E">
        <w:t xml:space="preserve">raise concerns when necessary, influence decision making and hold their landlord to account. </w:t>
      </w:r>
    </w:p>
    <w:p w14:paraId="5661F1F6" w14:textId="70715CD3" w:rsidR="20EA4893" w:rsidRDefault="20EA4893" w:rsidP="0AA7CCB9">
      <w:pPr>
        <w:pStyle w:val="Numberedlist"/>
        <w:rPr>
          <w:rStyle w:val="normaltextrun"/>
          <w:rFonts w:cs="Arial"/>
          <w:sz w:val="22"/>
          <w:szCs w:val="22"/>
        </w:rPr>
      </w:pPr>
      <w:r>
        <w:t>This i</w:t>
      </w:r>
      <w:r w:rsidR="360DED94">
        <w:t>s</w:t>
      </w:r>
      <w:r>
        <w:t xml:space="preserve"> </w:t>
      </w:r>
      <w:r w:rsidR="70EF922C">
        <w:t>essentially</w:t>
      </w:r>
      <w:r>
        <w:t xml:space="preserve"> a call for a</w:t>
      </w:r>
      <w:r w:rsidR="2F2FAE55">
        <w:t xml:space="preserve"> change to a two-way conversation </w:t>
      </w:r>
      <w:r>
        <w:t xml:space="preserve">between tenant and landlord – where there is a need to give tenants </w:t>
      </w:r>
      <w:r w:rsidR="4C45230B">
        <w:t xml:space="preserve">their </w:t>
      </w:r>
      <w:r w:rsidR="1FB2FBE4">
        <w:t>voice</w:t>
      </w:r>
      <w:r w:rsidR="7C9717C0">
        <w:t xml:space="preserve"> by providing</w:t>
      </w:r>
      <w:r w:rsidR="1FB2FBE4">
        <w:t xml:space="preserve"> meaningful</w:t>
      </w:r>
      <w:r w:rsidR="4C45230B">
        <w:t xml:space="preserve"> engagement</w:t>
      </w:r>
      <w:r w:rsidR="3ADAA66C">
        <w:t xml:space="preserve"> opportunities</w:t>
      </w:r>
      <w:r w:rsidR="00693D7B">
        <w:t xml:space="preserve"> to</w:t>
      </w:r>
      <w:r w:rsidR="002B166B">
        <w:t xml:space="preserve"> enable them </w:t>
      </w:r>
      <w:r w:rsidR="004D715B">
        <w:t>to influence</w:t>
      </w:r>
      <w:r w:rsidR="00693D7B">
        <w:t xml:space="preserve"> and scrutinise the Council’s strategies, </w:t>
      </w:r>
      <w:proofErr w:type="gramStart"/>
      <w:r w:rsidR="00693D7B">
        <w:t>policies</w:t>
      </w:r>
      <w:proofErr w:type="gramEnd"/>
      <w:r w:rsidR="00693D7B">
        <w:t xml:space="preserve"> and services</w:t>
      </w:r>
      <w:r w:rsidR="0716CCFB">
        <w:t>, and where the landlord in turn is able to communicate clearly with tenants</w:t>
      </w:r>
      <w:r w:rsidR="4A6BBB71">
        <w:t xml:space="preserve">.  This in </w:t>
      </w:r>
      <w:r w:rsidR="00693D7B">
        <w:t xml:space="preserve">turn </w:t>
      </w:r>
      <w:r w:rsidR="04DE59D1">
        <w:t xml:space="preserve">will </w:t>
      </w:r>
      <w:r w:rsidR="00693D7B">
        <w:t xml:space="preserve">help the Council to </w:t>
      </w:r>
      <w:r w:rsidR="4C45230B">
        <w:t>respond</w:t>
      </w:r>
      <w:r w:rsidR="66DF57D8">
        <w:t xml:space="preserve"> better</w:t>
      </w:r>
      <w:r w:rsidR="4C45230B">
        <w:t xml:space="preserve"> to</w:t>
      </w:r>
      <w:r w:rsidR="002B166B">
        <w:t xml:space="preserve"> what </w:t>
      </w:r>
      <w:r w:rsidR="004D715B">
        <w:t>our tenants</w:t>
      </w:r>
      <w:r w:rsidR="4C45230B">
        <w:t xml:space="preserve"> </w:t>
      </w:r>
      <w:r w:rsidR="002B166B">
        <w:t>want and nee</w:t>
      </w:r>
      <w:r w:rsidR="102BC6C2">
        <w:t>d whilst also delivering its services clearly.</w:t>
      </w:r>
      <w:r w:rsidR="002B166B">
        <w:t xml:space="preserve"> </w:t>
      </w:r>
      <w:r w:rsidR="4C45230B">
        <w:t xml:space="preserve"> </w:t>
      </w:r>
    </w:p>
    <w:p w14:paraId="76EB66DF" w14:textId="7CB2B5A0" w:rsidR="10154741" w:rsidRDefault="4B284782" w:rsidP="0AA7CCB9">
      <w:pPr>
        <w:pStyle w:val="Numberedlist"/>
        <w:rPr>
          <w:rStyle w:val="normaltextrun"/>
          <w:rFonts w:cs="Arial"/>
          <w:sz w:val="22"/>
          <w:szCs w:val="22"/>
        </w:rPr>
      </w:pPr>
      <w:r>
        <w:t>This activity however should be seen</w:t>
      </w:r>
      <w:r w:rsidR="4BFAAD0B">
        <w:t xml:space="preserve"> as the business of the whole </w:t>
      </w:r>
      <w:r w:rsidR="76928883">
        <w:t>C</w:t>
      </w:r>
      <w:r w:rsidR="4BFAAD0B">
        <w:t>ouncil and would feature particularly in areas such as pre</w:t>
      </w:r>
      <w:r w:rsidR="6B364C70">
        <w:t>v</w:t>
      </w:r>
      <w:r w:rsidR="4BFAAD0B">
        <w:t xml:space="preserve">enting </w:t>
      </w:r>
      <w:r w:rsidR="1D3CD19F">
        <w:t>homelessness</w:t>
      </w:r>
      <w:r w:rsidR="4BFAAD0B">
        <w:t xml:space="preserve">, tenancy </w:t>
      </w:r>
      <w:r w:rsidR="0A8318BE">
        <w:t xml:space="preserve">management and </w:t>
      </w:r>
      <w:r w:rsidR="4BFAAD0B">
        <w:t xml:space="preserve">sustainment, asset management and capital programmes, house </w:t>
      </w:r>
      <w:r w:rsidR="55409557">
        <w:t>building</w:t>
      </w:r>
      <w:r w:rsidR="4BFAAD0B">
        <w:t xml:space="preserve">, </w:t>
      </w:r>
      <w:r w:rsidR="24CFE2F2">
        <w:t xml:space="preserve">green and clean neighbourhoods, community </w:t>
      </w:r>
      <w:r w:rsidR="429394EF">
        <w:t>safety</w:t>
      </w:r>
      <w:r w:rsidR="0AF51733">
        <w:t xml:space="preserve">, </w:t>
      </w:r>
      <w:proofErr w:type="gramStart"/>
      <w:r w:rsidR="24CFE2F2">
        <w:t>parks</w:t>
      </w:r>
      <w:proofErr w:type="gramEnd"/>
      <w:r w:rsidR="24CFE2F2">
        <w:t xml:space="preserve"> and leisure</w:t>
      </w:r>
      <w:r w:rsidR="0B07462E">
        <w:t xml:space="preserve"> as well as </w:t>
      </w:r>
      <w:r w:rsidR="259D93EA">
        <w:t xml:space="preserve">the core functions of </w:t>
      </w:r>
      <w:r w:rsidR="0B07462E">
        <w:t>tenancy management.</w:t>
      </w:r>
    </w:p>
    <w:p w14:paraId="3179A3DD" w14:textId="77777777" w:rsidR="00C24686" w:rsidRDefault="00C24686" w:rsidP="00C24686">
      <w:pPr>
        <w:pStyle w:val="Numberedlist"/>
        <w:numPr>
          <w:ilvl w:val="0"/>
          <w:numId w:val="0"/>
        </w:numPr>
        <w:ind w:left="567"/>
        <w:rPr>
          <w:b/>
          <w:bCs/>
        </w:rPr>
      </w:pPr>
    </w:p>
    <w:p w14:paraId="0DF66B25" w14:textId="50E30D14" w:rsidR="10154741" w:rsidRDefault="79A67A9C" w:rsidP="00C24686">
      <w:pPr>
        <w:pStyle w:val="Numberedlist"/>
        <w:numPr>
          <w:ilvl w:val="0"/>
          <w:numId w:val="0"/>
        </w:numPr>
        <w:ind w:left="567"/>
        <w:rPr>
          <w:rStyle w:val="normaltextrun"/>
          <w:rFonts w:cs="Arial"/>
          <w:b/>
          <w:bCs/>
          <w:sz w:val="22"/>
          <w:szCs w:val="22"/>
        </w:rPr>
      </w:pPr>
      <w:r w:rsidRPr="0AA7CCB9">
        <w:rPr>
          <w:b/>
          <w:bCs/>
        </w:rPr>
        <w:t>Building a new Approach</w:t>
      </w:r>
      <w:r w:rsidR="005F7DC9" w:rsidRPr="0AA7CCB9">
        <w:rPr>
          <w:b/>
          <w:bCs/>
        </w:rPr>
        <w:t xml:space="preserve"> – a more structured way of engaging tenants</w:t>
      </w:r>
    </w:p>
    <w:p w14:paraId="0A1DF8D1" w14:textId="47B78A02" w:rsidR="10154741" w:rsidRDefault="79A67A9C" w:rsidP="147D9EAB">
      <w:pPr>
        <w:pStyle w:val="Numberedlist"/>
        <w:spacing w:line="259" w:lineRule="auto"/>
      </w:pPr>
      <w:r>
        <w:t xml:space="preserve">OCC has approximately </w:t>
      </w:r>
      <w:r w:rsidR="3E2114DD">
        <w:t xml:space="preserve">19,500 </w:t>
      </w:r>
      <w:r w:rsidR="478AFFF1">
        <w:t xml:space="preserve">occupants </w:t>
      </w:r>
      <w:r>
        <w:t>across its housing stock</w:t>
      </w:r>
      <w:r w:rsidR="0418C610">
        <w:t xml:space="preserve"> and</w:t>
      </w:r>
      <w:r w:rsidR="00D2460E">
        <w:t xml:space="preserve"> there </w:t>
      </w:r>
      <w:proofErr w:type="gramStart"/>
      <w:r w:rsidR="00D2460E">
        <w:t xml:space="preserve">is </w:t>
      </w:r>
      <w:r w:rsidR="0418C610">
        <w:t xml:space="preserve"> </w:t>
      </w:r>
      <w:r w:rsidR="4B81CF9D">
        <w:t>a</w:t>
      </w:r>
      <w:proofErr w:type="gramEnd"/>
      <w:r w:rsidR="4B81CF9D">
        <w:t xml:space="preserve"> </w:t>
      </w:r>
      <w:r w:rsidR="0418C610">
        <w:t xml:space="preserve">requirement to provide a diverse but also structured way of engagement, alongside good communication and publication of </w:t>
      </w:r>
      <w:r w:rsidR="4AD71C82">
        <w:t>key performance, data, policies and information.</w:t>
      </w:r>
      <w:r>
        <w:t xml:space="preserve">  </w:t>
      </w:r>
      <w:r w:rsidR="62B69C0D">
        <w:t xml:space="preserve">A desk top review of the </w:t>
      </w:r>
      <w:r w:rsidR="447D204B">
        <w:t xml:space="preserve">service and approach concluded that the </w:t>
      </w:r>
      <w:r w:rsidR="302D4510">
        <w:t xml:space="preserve">current </w:t>
      </w:r>
      <w:r>
        <w:t>arrangements</w:t>
      </w:r>
      <w:r w:rsidR="3F1B8631">
        <w:t xml:space="preserve"> </w:t>
      </w:r>
      <w:r w:rsidR="15E3AAD5">
        <w:t>are</w:t>
      </w:r>
      <w:r w:rsidR="48CFCA29">
        <w:t xml:space="preserve"> based on a relatively l</w:t>
      </w:r>
      <w:r w:rsidR="12045D88">
        <w:t>imited</w:t>
      </w:r>
      <w:r w:rsidR="3BAD3FE5">
        <w:t>,</w:t>
      </w:r>
      <w:r w:rsidR="77CCDC7C">
        <w:t xml:space="preserve"> </w:t>
      </w:r>
      <w:r w:rsidR="21E84026">
        <w:t xml:space="preserve">but highly committed </w:t>
      </w:r>
      <w:r w:rsidR="48CFCA29">
        <w:t xml:space="preserve">group of </w:t>
      </w:r>
      <w:r>
        <w:t>tenant ambassador</w:t>
      </w:r>
      <w:r w:rsidR="2481F9E0">
        <w:t>s,</w:t>
      </w:r>
      <w:r w:rsidR="666763CC">
        <w:t xml:space="preserve"> </w:t>
      </w:r>
      <w:r w:rsidR="55306588">
        <w:t xml:space="preserve">with a focus </w:t>
      </w:r>
      <w:r w:rsidR="666763CC">
        <w:t>on specific areas of interest</w:t>
      </w:r>
      <w:r w:rsidR="7E819E76">
        <w:t xml:space="preserve"> across </w:t>
      </w:r>
      <w:proofErr w:type="gramStart"/>
      <w:r w:rsidR="7E819E76">
        <w:t>a number of</w:t>
      </w:r>
      <w:proofErr w:type="gramEnd"/>
      <w:r w:rsidR="7E819E76">
        <w:t xml:space="preserve"> </w:t>
      </w:r>
      <w:r w:rsidR="212E1E2F">
        <w:t xml:space="preserve">established </w:t>
      </w:r>
      <w:r w:rsidR="7E819E76">
        <w:t xml:space="preserve">groups.  The review also looked at our </w:t>
      </w:r>
      <w:r w:rsidR="11141434">
        <w:lastRenderedPageBreak/>
        <w:t>data in terms of</w:t>
      </w:r>
      <w:r w:rsidR="2481F9E0">
        <w:t xml:space="preserve"> </w:t>
      </w:r>
      <w:r w:rsidR="5A27D61C">
        <w:t xml:space="preserve">what our tenants tell us when raising complaints </w:t>
      </w:r>
      <w:r w:rsidR="7CA88340">
        <w:t>as well</w:t>
      </w:r>
      <w:r w:rsidR="002319EF">
        <w:t xml:space="preserve"> </w:t>
      </w:r>
      <w:r w:rsidR="7B2FA9D5">
        <w:t>as our tenants’ priorities</w:t>
      </w:r>
      <w:r w:rsidR="75F8A24F">
        <w:t xml:space="preserve"> in terms of their homes.</w:t>
      </w:r>
    </w:p>
    <w:p w14:paraId="4FF36FD5" w14:textId="32B846E1" w:rsidR="10154741" w:rsidRDefault="40374FB4" w:rsidP="0AA7CCB9">
      <w:pPr>
        <w:pStyle w:val="Numberedlist"/>
        <w:rPr>
          <w:rStyle w:val="normaltextrun"/>
          <w:rFonts w:cs="Arial"/>
          <w:sz w:val="22"/>
          <w:szCs w:val="22"/>
        </w:rPr>
      </w:pPr>
      <w:r>
        <w:t>The review found that further work is required</w:t>
      </w:r>
      <w:r w:rsidR="00124751">
        <w:t xml:space="preserve"> to:</w:t>
      </w:r>
    </w:p>
    <w:p w14:paraId="01D9977F" w14:textId="034791DD" w:rsidR="10154741" w:rsidRDefault="40374FB4" w:rsidP="0094447D">
      <w:pPr>
        <w:pStyle w:val="Bulletpoints"/>
        <w:tabs>
          <w:tab w:val="clear" w:pos="993"/>
        </w:tabs>
        <w:ind w:left="1418" w:hanging="284"/>
        <w:rPr>
          <w:rStyle w:val="normaltextrun"/>
          <w:rFonts w:cs="Arial"/>
          <w:sz w:val="22"/>
          <w:szCs w:val="22"/>
        </w:rPr>
      </w:pPr>
      <w:r>
        <w:t xml:space="preserve">establish clearer governance structures with which tenants </w:t>
      </w:r>
      <w:r w:rsidR="0285811E">
        <w:t xml:space="preserve">can </w:t>
      </w:r>
      <w:r>
        <w:t>engage</w:t>
      </w:r>
      <w:r w:rsidR="46C5C942">
        <w:t xml:space="preserve"> on a broader range of issues</w:t>
      </w:r>
      <w:r>
        <w:t xml:space="preserve">, </w:t>
      </w:r>
      <w:r w:rsidR="0C86F367">
        <w:t>contribute</w:t>
      </w:r>
      <w:r w:rsidR="32561613">
        <w:t xml:space="preserve"> to service development, hold the Landlord to account and ensure they have </w:t>
      </w:r>
      <w:r w:rsidR="372B7B1A">
        <w:t xml:space="preserve">a </w:t>
      </w:r>
      <w:r w:rsidR="32561613">
        <w:t>voice at the top table.</w:t>
      </w:r>
      <w:r>
        <w:t xml:space="preserve">  </w:t>
      </w:r>
      <w:r w:rsidR="3831EB37">
        <w:t xml:space="preserve">This should include specific and specialist </w:t>
      </w:r>
      <w:r w:rsidR="09CDBBA0">
        <w:t xml:space="preserve">groups </w:t>
      </w:r>
      <w:r w:rsidR="3831EB37">
        <w:t>around e.g</w:t>
      </w:r>
      <w:r w:rsidR="78B11B8F">
        <w:t>.</w:t>
      </w:r>
      <w:r w:rsidR="3831EB37">
        <w:t xml:space="preserve"> </w:t>
      </w:r>
      <w:r w:rsidR="001C249D">
        <w:t xml:space="preserve">Tenant </w:t>
      </w:r>
      <w:r w:rsidR="3831EB37">
        <w:t>Safety, C</w:t>
      </w:r>
      <w:r w:rsidR="399936DE">
        <w:t>o</w:t>
      </w:r>
      <w:r w:rsidR="3831EB37">
        <w:t xml:space="preserve">mpliance, </w:t>
      </w:r>
      <w:r w:rsidR="00D2460E">
        <w:t xml:space="preserve">and </w:t>
      </w:r>
      <w:proofErr w:type="gramStart"/>
      <w:r w:rsidR="3831EB37">
        <w:t>Complaints</w:t>
      </w:r>
      <w:r w:rsidR="00D2460E">
        <w:t>;</w:t>
      </w:r>
      <w:proofErr w:type="gramEnd"/>
      <w:r w:rsidR="3831EB37">
        <w:t xml:space="preserve"> </w:t>
      </w:r>
    </w:p>
    <w:p w14:paraId="54B86601" w14:textId="1E9805E9" w:rsidR="10154741" w:rsidRDefault="0A71D39A" w:rsidP="0094447D">
      <w:pPr>
        <w:pStyle w:val="Bulletpoints"/>
        <w:tabs>
          <w:tab w:val="clear" w:pos="993"/>
        </w:tabs>
        <w:ind w:left="1418" w:hanging="284"/>
        <w:rPr>
          <w:rStyle w:val="normaltextrun"/>
          <w:rFonts w:cs="Arial"/>
          <w:sz w:val="22"/>
          <w:szCs w:val="22"/>
        </w:rPr>
      </w:pPr>
      <w:r>
        <w:t>ensure</w:t>
      </w:r>
      <w:r w:rsidR="00D2460E">
        <w:t xml:space="preserve"> that</w:t>
      </w:r>
      <w:r>
        <w:t xml:space="preserve"> </w:t>
      </w:r>
      <w:r w:rsidR="010B7985">
        <w:t xml:space="preserve">the </w:t>
      </w:r>
      <w:r w:rsidR="00D2460E">
        <w:t xml:space="preserve">requirement to </w:t>
      </w:r>
      <w:r w:rsidR="010B7985">
        <w:t xml:space="preserve">engage </w:t>
      </w:r>
      <w:r w:rsidR="00D2460E">
        <w:t>with</w:t>
      </w:r>
      <w:r w:rsidR="010B7985">
        <w:t xml:space="preserve"> tenants is understood across the Council, and across all Landlord</w:t>
      </w:r>
      <w:r w:rsidR="00D2460E">
        <w:t>-</w:t>
      </w:r>
      <w:r w:rsidR="010B7985">
        <w:t xml:space="preserve">related functions, some of which sit outside the Housing Service as they are </w:t>
      </w:r>
      <w:r w:rsidR="460D937D">
        <w:t xml:space="preserve">subject to the same </w:t>
      </w:r>
      <w:proofErr w:type="gramStart"/>
      <w:r w:rsidR="460D937D">
        <w:t>requirements</w:t>
      </w:r>
      <w:r w:rsidR="00D2460E">
        <w:t>;</w:t>
      </w:r>
      <w:proofErr w:type="gramEnd"/>
    </w:p>
    <w:p w14:paraId="57C26772" w14:textId="7A31D77A" w:rsidR="10154741" w:rsidRDefault="7D50F1B4" w:rsidP="0094447D">
      <w:pPr>
        <w:pStyle w:val="Bulletpoints"/>
        <w:tabs>
          <w:tab w:val="clear" w:pos="993"/>
        </w:tabs>
        <w:ind w:left="1418" w:hanging="284"/>
        <w:rPr>
          <w:rStyle w:val="normaltextrun"/>
          <w:rFonts w:cs="Arial"/>
          <w:sz w:val="22"/>
          <w:szCs w:val="22"/>
        </w:rPr>
      </w:pPr>
      <w:r>
        <w:t xml:space="preserve">update and refresh our data and </w:t>
      </w:r>
      <w:r w:rsidR="6409371C">
        <w:t>understanding</w:t>
      </w:r>
      <w:r w:rsidR="415A2680">
        <w:t xml:space="preserve"> of our tenants and their needs</w:t>
      </w:r>
      <w:r w:rsidR="6409371C">
        <w:t>, in order to</w:t>
      </w:r>
      <w:r w:rsidR="3492085F">
        <w:t xml:space="preserve"> shape our services to meet </w:t>
      </w:r>
      <w:r w:rsidR="2C66BE2C">
        <w:t xml:space="preserve">those </w:t>
      </w:r>
      <w:r w:rsidR="3492085F">
        <w:t>needs and</w:t>
      </w:r>
      <w:r w:rsidR="6409371C">
        <w:t xml:space="preserve"> ensure a proactive</w:t>
      </w:r>
      <w:r w:rsidR="6B60A5D1">
        <w:t xml:space="preserve"> </w:t>
      </w:r>
      <w:proofErr w:type="gramStart"/>
      <w:r w:rsidR="6B60A5D1">
        <w:t>approach</w:t>
      </w:r>
      <w:r w:rsidR="00D2460E">
        <w:t>;</w:t>
      </w:r>
      <w:proofErr w:type="gramEnd"/>
    </w:p>
    <w:p w14:paraId="054D33E9" w14:textId="72F456C1" w:rsidR="10154741" w:rsidRDefault="794BA160" w:rsidP="0094447D">
      <w:pPr>
        <w:pStyle w:val="Bulletpoints"/>
        <w:tabs>
          <w:tab w:val="clear" w:pos="993"/>
        </w:tabs>
        <w:ind w:left="1418" w:hanging="284"/>
        <w:rPr>
          <w:rStyle w:val="normaltextrun"/>
          <w:rFonts w:cs="Arial"/>
          <w:sz w:val="22"/>
          <w:szCs w:val="22"/>
        </w:rPr>
      </w:pPr>
      <w:r>
        <w:t xml:space="preserve">further the development of a new Tenant Engagement strategy that will </w:t>
      </w:r>
      <w:r w:rsidR="6A3751B8">
        <w:t>encompass</w:t>
      </w:r>
      <w:r w:rsidR="455D2702">
        <w:t xml:space="preserve"> the reset</w:t>
      </w:r>
      <w:r w:rsidR="00D2460E">
        <w:t xml:space="preserve"> and ensure compliance with the Consumer Standards</w:t>
      </w:r>
      <w:r w:rsidR="455D2702">
        <w:t xml:space="preserve"> and </w:t>
      </w:r>
      <w:r w:rsidR="00D2460E">
        <w:t xml:space="preserve">our </w:t>
      </w:r>
      <w:r w:rsidR="455D2702">
        <w:t xml:space="preserve">future approach </w:t>
      </w:r>
      <w:r w:rsidR="00D2460E">
        <w:t>to</w:t>
      </w:r>
      <w:r>
        <w:t xml:space="preserve"> the</w:t>
      </w:r>
      <w:r w:rsidR="5E9B4E77">
        <w:t xml:space="preserve"> </w:t>
      </w:r>
      <w:proofErr w:type="gramStart"/>
      <w:r w:rsidR="5E9B4E77">
        <w:t>work</w:t>
      </w:r>
      <w:r w:rsidR="00D2460E">
        <w:t>;</w:t>
      </w:r>
      <w:proofErr w:type="gramEnd"/>
    </w:p>
    <w:p w14:paraId="102F1B0C" w14:textId="70CD3E8A" w:rsidR="10154741" w:rsidRDefault="52B96FF4" w:rsidP="0094447D">
      <w:pPr>
        <w:pStyle w:val="Bulletpoints"/>
        <w:tabs>
          <w:tab w:val="clear" w:pos="993"/>
        </w:tabs>
        <w:ind w:left="1418" w:hanging="284"/>
        <w:rPr>
          <w:rStyle w:val="normaltextrun"/>
          <w:rFonts w:cs="Arial"/>
          <w:sz w:val="22"/>
          <w:szCs w:val="22"/>
        </w:rPr>
      </w:pPr>
      <w:r>
        <w:t>i</w:t>
      </w:r>
      <w:r w:rsidR="7B7DA38F">
        <w:t xml:space="preserve">mprove </w:t>
      </w:r>
      <w:r w:rsidR="348373F0">
        <w:t xml:space="preserve">communication </w:t>
      </w:r>
      <w:r w:rsidR="2FF364AA">
        <w:t>a</w:t>
      </w:r>
      <w:r w:rsidR="6409371C">
        <w:t xml:space="preserve">cross </w:t>
      </w:r>
      <w:r w:rsidR="4C769A2F">
        <w:t xml:space="preserve">a variety of </w:t>
      </w:r>
      <w:r w:rsidR="6409371C">
        <w:t>engagement platforms</w:t>
      </w:r>
      <w:r w:rsidR="5BF3E79C">
        <w:t xml:space="preserve"> </w:t>
      </w:r>
      <w:r w:rsidR="00D2460E">
        <w:t>(</w:t>
      </w:r>
      <w:r w:rsidR="5BF3E79C">
        <w:t>e.g. the website</w:t>
      </w:r>
      <w:r w:rsidR="00D2460E">
        <w:t xml:space="preserve"> and</w:t>
      </w:r>
      <w:r w:rsidR="00753EF7">
        <w:t xml:space="preserve"> </w:t>
      </w:r>
      <w:r w:rsidR="5BF3E79C">
        <w:t>newsletters</w:t>
      </w:r>
      <w:r w:rsidR="00D2460E">
        <w:t>)</w:t>
      </w:r>
      <w:r w:rsidR="5BF3E79C">
        <w:t xml:space="preserve"> to ensure</w:t>
      </w:r>
      <w:r w:rsidR="6409371C">
        <w:t xml:space="preserve"> they are accessible to tenants</w:t>
      </w:r>
      <w:r w:rsidR="4C810386">
        <w:t>, providing clear information on a range of issues</w:t>
      </w:r>
      <w:r w:rsidR="4EAE2A23">
        <w:t xml:space="preserve"> and performance</w:t>
      </w:r>
      <w:r w:rsidR="4C810386">
        <w:t>.</w:t>
      </w:r>
    </w:p>
    <w:p w14:paraId="4F9CED08" w14:textId="207D444C" w:rsidR="10154741" w:rsidRDefault="20E22473" w:rsidP="0FC2D3C5">
      <w:pPr>
        <w:pStyle w:val="Numberedlist"/>
        <w:rPr>
          <w:rStyle w:val="normaltextrun"/>
          <w:rFonts w:cs="Arial"/>
          <w:sz w:val="22"/>
          <w:szCs w:val="22"/>
        </w:rPr>
      </w:pPr>
      <w:r>
        <w:t xml:space="preserve">With several key building blocks in place including a well-resourced team, </w:t>
      </w:r>
      <w:r w:rsidR="00D2460E">
        <w:t xml:space="preserve">we </w:t>
      </w:r>
      <w:proofErr w:type="gramStart"/>
      <w:r w:rsidR="00D2460E">
        <w:t>have</w:t>
      </w:r>
      <w:r w:rsidR="3FB0987F">
        <w:t xml:space="preserve"> the </w:t>
      </w:r>
      <w:r>
        <w:t>opportunity to</w:t>
      </w:r>
      <w:proofErr w:type="gramEnd"/>
      <w:r>
        <w:t xml:space="preserve"> better join up and align the engagement approach to maximise the use of resources to deliver the best outcomes for tenants and ensure full compliance with the Transparency, Influence </w:t>
      </w:r>
      <w:r w:rsidR="00D2460E">
        <w:t xml:space="preserve">and Accountability </w:t>
      </w:r>
      <w:r>
        <w:t>Standard.</w:t>
      </w:r>
    </w:p>
    <w:p w14:paraId="20455FBB" w14:textId="77777777" w:rsidR="00D96E2C" w:rsidRDefault="00D96E2C" w:rsidP="00D96E2C">
      <w:pPr>
        <w:pStyle w:val="Numberedlist"/>
        <w:numPr>
          <w:ilvl w:val="0"/>
          <w:numId w:val="0"/>
        </w:numPr>
        <w:spacing w:after="0"/>
        <w:rPr>
          <w:b/>
          <w:bCs/>
        </w:rPr>
      </w:pPr>
    </w:p>
    <w:p w14:paraId="672D6C33" w14:textId="675418B9" w:rsidR="2D328E11" w:rsidRDefault="2D328E11" w:rsidP="00D96E2C">
      <w:pPr>
        <w:pStyle w:val="Numberedlist"/>
        <w:numPr>
          <w:ilvl w:val="0"/>
          <w:numId w:val="0"/>
        </w:numPr>
        <w:spacing w:after="0"/>
        <w:ind w:left="567"/>
        <w:rPr>
          <w:b/>
          <w:bCs/>
        </w:rPr>
      </w:pPr>
      <w:r w:rsidRPr="0AA7CCB9">
        <w:rPr>
          <w:b/>
          <w:bCs/>
        </w:rPr>
        <w:t xml:space="preserve">Proposed </w:t>
      </w:r>
      <w:r w:rsidR="7BC42AD9" w:rsidRPr="0AA7CCB9">
        <w:rPr>
          <w:b/>
          <w:bCs/>
        </w:rPr>
        <w:t xml:space="preserve">new </w:t>
      </w:r>
      <w:r w:rsidRPr="0AA7CCB9">
        <w:rPr>
          <w:b/>
          <w:bCs/>
        </w:rPr>
        <w:t xml:space="preserve">Tenant </w:t>
      </w:r>
      <w:r w:rsidR="0BFD0AC2" w:rsidRPr="0AA7CCB9">
        <w:rPr>
          <w:b/>
          <w:bCs/>
        </w:rPr>
        <w:t>Engagement</w:t>
      </w:r>
      <w:r w:rsidRPr="0AA7CCB9">
        <w:rPr>
          <w:b/>
          <w:bCs/>
        </w:rPr>
        <w:t xml:space="preserve"> </w:t>
      </w:r>
      <w:r w:rsidR="4589C3DB" w:rsidRPr="0AA7CCB9">
        <w:rPr>
          <w:b/>
          <w:bCs/>
        </w:rPr>
        <w:t>S</w:t>
      </w:r>
      <w:r w:rsidRPr="0AA7CCB9">
        <w:rPr>
          <w:b/>
          <w:bCs/>
        </w:rPr>
        <w:t>tructure</w:t>
      </w:r>
    </w:p>
    <w:p w14:paraId="1E964DB0" w14:textId="77777777" w:rsidR="00D96E2C" w:rsidRDefault="00D96E2C" w:rsidP="00D96E2C">
      <w:pPr>
        <w:pStyle w:val="Numberedlist"/>
        <w:numPr>
          <w:ilvl w:val="0"/>
          <w:numId w:val="0"/>
        </w:numPr>
        <w:spacing w:after="0"/>
        <w:ind w:left="567"/>
        <w:rPr>
          <w:rStyle w:val="normaltextrun"/>
          <w:rFonts w:cs="Arial"/>
          <w:b/>
          <w:bCs/>
          <w:sz w:val="22"/>
          <w:szCs w:val="22"/>
        </w:rPr>
      </w:pPr>
    </w:p>
    <w:p w14:paraId="14084BFF" w14:textId="1F23C54C" w:rsidR="31807473" w:rsidRDefault="32C5B132" w:rsidP="0AA7CCB9">
      <w:pPr>
        <w:pStyle w:val="Numberedlist"/>
        <w:rPr>
          <w:rStyle w:val="normaltextrun"/>
          <w:rFonts w:cs="Arial"/>
          <w:sz w:val="22"/>
          <w:szCs w:val="22"/>
        </w:rPr>
      </w:pPr>
      <w:r>
        <w:t xml:space="preserve">As part of </w:t>
      </w:r>
      <w:r w:rsidR="581E46C6">
        <w:t xml:space="preserve">this </w:t>
      </w:r>
      <w:r>
        <w:t>reset, the first s</w:t>
      </w:r>
      <w:r w:rsidR="22B8461B">
        <w:t>t</w:t>
      </w:r>
      <w:r>
        <w:t xml:space="preserve">ep </w:t>
      </w:r>
      <w:r w:rsidR="2738D60F">
        <w:t>was</w:t>
      </w:r>
      <w:r>
        <w:t xml:space="preserve"> to design a </w:t>
      </w:r>
      <w:r w:rsidR="232FF65A">
        <w:t xml:space="preserve">draft </w:t>
      </w:r>
      <w:r>
        <w:t xml:space="preserve">governance </w:t>
      </w:r>
      <w:r w:rsidR="13C67C40">
        <w:t>structure</w:t>
      </w:r>
      <w:r w:rsidR="73E2D3D0">
        <w:t xml:space="preserve"> across the Landlord function</w:t>
      </w:r>
      <w:r w:rsidR="13C67C40">
        <w:t xml:space="preserve"> </w:t>
      </w:r>
      <w:r w:rsidR="6772F7A2">
        <w:t>to enable tenants to engage with the Council at a range of di</w:t>
      </w:r>
      <w:r w:rsidR="5AF8CA87">
        <w:t xml:space="preserve">fferent levels, </w:t>
      </w:r>
      <w:r w:rsidR="7DB9FBD7">
        <w:t xml:space="preserve">creating a golden thread through the organisation.  </w:t>
      </w:r>
      <w:r w:rsidR="296F65BD">
        <w:t xml:space="preserve">This </w:t>
      </w:r>
      <w:r w:rsidR="7DB9FBD7">
        <w:t xml:space="preserve">is </w:t>
      </w:r>
      <w:r w:rsidR="5AF8CA87">
        <w:t xml:space="preserve">illustrated in the diagram </w:t>
      </w:r>
      <w:proofErr w:type="gramStart"/>
      <w:r w:rsidR="5AF8CA87">
        <w:t>below:-</w:t>
      </w:r>
      <w:proofErr w:type="gramEnd"/>
    </w:p>
    <w:p w14:paraId="78C4979C" w14:textId="34D8EC45" w:rsidR="31807473" w:rsidRDefault="658BC172" w:rsidP="49C9143C">
      <w:pPr>
        <w:pStyle w:val="Numberedlist"/>
      </w:pPr>
      <w:r>
        <w:rPr>
          <w:noProof/>
        </w:rPr>
        <w:lastRenderedPageBreak/>
        <w:drawing>
          <wp:inline distT="0" distB="0" distL="0" distR="0" wp14:anchorId="54CC325F" wp14:editId="18FA741A">
            <wp:extent cx="4572000" cy="2543175"/>
            <wp:effectExtent l="0" t="0" r="0" b="0"/>
            <wp:docPr id="177135226" name="Picture 17713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543175"/>
                    </a:xfrm>
                    <a:prstGeom prst="rect">
                      <a:avLst/>
                    </a:prstGeom>
                  </pic:spPr>
                </pic:pic>
              </a:graphicData>
            </a:graphic>
          </wp:inline>
        </w:drawing>
      </w:r>
    </w:p>
    <w:p w14:paraId="50BD2BCD" w14:textId="26C9A359" w:rsidR="31807473" w:rsidRDefault="0A73BD56" w:rsidP="0AA7CCB9">
      <w:pPr>
        <w:pStyle w:val="Numberedlist"/>
        <w:rPr>
          <w:rStyle w:val="normaltextrun"/>
          <w:rFonts w:cs="Arial"/>
          <w:sz w:val="22"/>
          <w:szCs w:val="22"/>
        </w:rPr>
      </w:pPr>
      <w:r>
        <w:t xml:space="preserve">It </w:t>
      </w:r>
      <w:r w:rsidR="226F62C3">
        <w:t xml:space="preserve">is </w:t>
      </w:r>
      <w:r>
        <w:t>proposed to set up 3</w:t>
      </w:r>
      <w:r w:rsidR="326EFDD8">
        <w:t xml:space="preserve"> </w:t>
      </w:r>
      <w:r>
        <w:t>key Tenant Groups</w:t>
      </w:r>
      <w:r w:rsidR="00CE5979">
        <w:t>:</w:t>
      </w:r>
      <w:r>
        <w:t xml:space="preserve"> </w:t>
      </w:r>
      <w:proofErr w:type="spellStart"/>
      <w:proofErr w:type="gramStart"/>
      <w:r w:rsidR="1574EF6E">
        <w:t>e,g</w:t>
      </w:r>
      <w:proofErr w:type="spellEnd"/>
      <w:proofErr w:type="gramEnd"/>
      <w:r w:rsidR="1574EF6E">
        <w:t>,</w:t>
      </w:r>
      <w:r w:rsidR="473913B0">
        <w:t xml:space="preserve"> </w:t>
      </w:r>
      <w:r>
        <w:t>Tenant</w:t>
      </w:r>
      <w:r w:rsidR="58CECC7B">
        <w:t xml:space="preserve"> </w:t>
      </w:r>
      <w:r>
        <w:t>Forum, Leasehold Forum</w:t>
      </w:r>
      <w:r w:rsidR="1A291CC2">
        <w:t xml:space="preserve"> and </w:t>
      </w:r>
      <w:proofErr w:type="spellStart"/>
      <w:r w:rsidR="1A291CC2">
        <w:t>a</w:t>
      </w:r>
      <w:proofErr w:type="spellEnd"/>
      <w:r w:rsidR="1A291CC2">
        <w:t xml:space="preserve"> </w:t>
      </w:r>
      <w:r>
        <w:t xml:space="preserve">Older People’s Forum. </w:t>
      </w:r>
      <w:r w:rsidR="1DE1F6D5">
        <w:t xml:space="preserve">These will enable </w:t>
      </w:r>
      <w:r w:rsidR="02B06829">
        <w:t xml:space="preserve">different </w:t>
      </w:r>
      <w:r w:rsidR="1DE1F6D5">
        <w:t xml:space="preserve">groups, with common interests to come together under </w:t>
      </w:r>
      <w:r>
        <w:t xml:space="preserve">specific </w:t>
      </w:r>
      <w:r w:rsidR="556CBACD">
        <w:t>t</w:t>
      </w:r>
      <w:r>
        <w:t xml:space="preserve">erms of </w:t>
      </w:r>
      <w:r w:rsidR="2CF99826">
        <w:t>r</w:t>
      </w:r>
      <w:r>
        <w:t>eference</w:t>
      </w:r>
      <w:r w:rsidR="220C0157">
        <w:t xml:space="preserve">, </w:t>
      </w:r>
      <w:r>
        <w:t xml:space="preserve">supported and facilitated by </w:t>
      </w:r>
      <w:r w:rsidR="0BE680EA">
        <w:t xml:space="preserve">Council </w:t>
      </w:r>
      <w:r>
        <w:t xml:space="preserve">officers, with </w:t>
      </w:r>
      <w:r w:rsidR="00BC7785">
        <w:t xml:space="preserve">agendas, </w:t>
      </w:r>
      <w:proofErr w:type="gramStart"/>
      <w:r w:rsidR="00BC7785">
        <w:t>minutes</w:t>
      </w:r>
      <w:proofErr w:type="gramEnd"/>
      <w:r w:rsidR="00276EAB">
        <w:t xml:space="preserve"> and other information</w:t>
      </w:r>
      <w:r>
        <w:t xml:space="preserve"> as appropriate.  </w:t>
      </w:r>
    </w:p>
    <w:p w14:paraId="5422007A" w14:textId="7730EFDD" w:rsidR="31807473" w:rsidRDefault="0A73BD56" w:rsidP="0AA7CCB9">
      <w:pPr>
        <w:pStyle w:val="Numberedlist"/>
        <w:rPr>
          <w:rStyle w:val="normaltextrun"/>
          <w:rFonts w:cs="Arial"/>
          <w:sz w:val="22"/>
          <w:szCs w:val="22"/>
        </w:rPr>
      </w:pPr>
      <w:r>
        <w:t xml:space="preserve">Members from these </w:t>
      </w:r>
      <w:r w:rsidR="42501128">
        <w:t xml:space="preserve">three specific </w:t>
      </w:r>
      <w:r>
        <w:t xml:space="preserve">forums will then be represented on the broader </w:t>
      </w:r>
      <w:r w:rsidR="16C80626">
        <w:t>Tena</w:t>
      </w:r>
      <w:r>
        <w:t xml:space="preserve">nt Representative Forum which will also include OCC officers and the </w:t>
      </w:r>
      <w:r w:rsidR="38D54452">
        <w:t xml:space="preserve">Head </w:t>
      </w:r>
      <w:r>
        <w:t>of Housing.  Specific terms of reference will be developed but it will be an opportunity for the 3 groups to feed in key issues</w:t>
      </w:r>
      <w:r w:rsidR="63E78966">
        <w:t xml:space="preserve"> to the Landlord</w:t>
      </w:r>
      <w:r>
        <w:t xml:space="preserve">, as well as for OCC officers to bring </w:t>
      </w:r>
      <w:r w:rsidR="3BE013FB">
        <w:t xml:space="preserve">forward </w:t>
      </w:r>
      <w:r>
        <w:t xml:space="preserve">information on service delivery, services development, </w:t>
      </w:r>
      <w:proofErr w:type="gramStart"/>
      <w:r>
        <w:t>performance</w:t>
      </w:r>
      <w:proofErr w:type="gramEnd"/>
      <w:r>
        <w:t xml:space="preserve"> and monitoring.</w:t>
      </w:r>
    </w:p>
    <w:p w14:paraId="7073A896" w14:textId="6567B076" w:rsidR="31807473" w:rsidRDefault="0A73BD56" w:rsidP="0AA7CCB9">
      <w:pPr>
        <w:pStyle w:val="Numberedlist"/>
        <w:rPr>
          <w:rStyle w:val="normaltextrun"/>
          <w:rFonts w:cs="Arial"/>
          <w:sz w:val="22"/>
          <w:szCs w:val="22"/>
        </w:rPr>
      </w:pPr>
      <w:r>
        <w:t xml:space="preserve">At the top of the governance structure, will be a </w:t>
      </w:r>
      <w:r w:rsidR="1E080A4C">
        <w:t xml:space="preserve">Tenant </w:t>
      </w:r>
      <w:r>
        <w:t xml:space="preserve">Engagement Forum – which will potentially be led </w:t>
      </w:r>
      <w:r w:rsidR="00AD5A83">
        <w:t>(or jointly</w:t>
      </w:r>
      <w:r w:rsidR="00276EAB">
        <w:t xml:space="preserve"> led</w:t>
      </w:r>
      <w:r w:rsidR="00AD5A83">
        <w:t xml:space="preserve">) </w:t>
      </w:r>
      <w:r>
        <w:t>by the Portfolio Holder for Housing where tenants will make their key representations to the Lead Member who in turn will raise these key issues at Cabinet.</w:t>
      </w:r>
    </w:p>
    <w:p w14:paraId="450540CA" w14:textId="3DFED861" w:rsidR="2DE21B07" w:rsidRDefault="06B3E495" w:rsidP="49C9143C">
      <w:pPr>
        <w:pStyle w:val="Numberedlist"/>
      </w:pPr>
      <w:r>
        <w:t>In addition, s</w:t>
      </w:r>
      <w:r w:rsidR="2DE21B07">
        <w:t>pecific</w:t>
      </w:r>
      <w:r w:rsidR="3718DFC7">
        <w:t xml:space="preserve"> </w:t>
      </w:r>
      <w:r w:rsidR="2DE21B07">
        <w:t>groups – including task and finish groups</w:t>
      </w:r>
      <w:r w:rsidR="30595DF3">
        <w:t xml:space="preserve"> – will also be created, linking the tenants’ voice to all aspects of the Landlord’s work </w:t>
      </w:r>
      <w:r w:rsidR="3949D5CA">
        <w:t>including Tenant</w:t>
      </w:r>
      <w:r w:rsidR="30595DF3">
        <w:t xml:space="preserve"> Safety and Compliance, Tenant </w:t>
      </w:r>
      <w:r w:rsidR="00145395">
        <w:t>Engagement</w:t>
      </w:r>
      <w:r w:rsidR="30595DF3">
        <w:t xml:space="preserve"> Strategy</w:t>
      </w:r>
      <w:r w:rsidR="12E4C335">
        <w:t xml:space="preserve">, </w:t>
      </w:r>
      <w:r w:rsidR="30595DF3">
        <w:t>Data and Performance</w:t>
      </w:r>
      <w:r w:rsidR="749ADCAB">
        <w:t xml:space="preserve"> and a Young People’s Forum.</w:t>
      </w:r>
    </w:p>
    <w:p w14:paraId="76E75BD5" w14:textId="77777777" w:rsidR="00AE769D" w:rsidRDefault="00AE769D" w:rsidP="0AA7CCB9">
      <w:pPr>
        <w:pStyle w:val="Numberedlist"/>
        <w:numPr>
          <w:ilvl w:val="0"/>
          <w:numId w:val="0"/>
        </w:numPr>
        <w:rPr>
          <w:b/>
          <w:bCs/>
        </w:rPr>
      </w:pPr>
    </w:p>
    <w:p w14:paraId="655689DD" w14:textId="661CB8B8" w:rsidR="6535360E" w:rsidRDefault="4ADC23CC" w:rsidP="00AE769D">
      <w:pPr>
        <w:pStyle w:val="Numberedlist"/>
        <w:numPr>
          <w:ilvl w:val="0"/>
          <w:numId w:val="0"/>
        </w:numPr>
        <w:spacing w:after="0"/>
        <w:ind w:left="567"/>
        <w:rPr>
          <w:b/>
          <w:bCs/>
        </w:rPr>
      </w:pPr>
      <w:r w:rsidRPr="0AA7CCB9">
        <w:rPr>
          <w:b/>
          <w:bCs/>
        </w:rPr>
        <w:t>Proposals for Delivery</w:t>
      </w:r>
    </w:p>
    <w:p w14:paraId="327D2F89" w14:textId="77777777" w:rsidR="00AE769D" w:rsidRDefault="00AE769D" w:rsidP="00AE769D">
      <w:pPr>
        <w:pStyle w:val="Numberedlist"/>
        <w:numPr>
          <w:ilvl w:val="0"/>
          <w:numId w:val="0"/>
        </w:numPr>
        <w:spacing w:after="0"/>
        <w:ind w:left="567"/>
        <w:rPr>
          <w:rStyle w:val="normaltextrun"/>
          <w:rFonts w:cs="Arial"/>
          <w:b/>
          <w:bCs/>
          <w:sz w:val="22"/>
          <w:szCs w:val="22"/>
        </w:rPr>
      </w:pPr>
    </w:p>
    <w:p w14:paraId="2D44A6BD" w14:textId="4B2C4A62" w:rsidR="6A6FEA2A" w:rsidRDefault="373C16BA" w:rsidP="0AA7CCB9">
      <w:pPr>
        <w:pStyle w:val="Numberedlist"/>
        <w:rPr>
          <w:rStyle w:val="normaltextrun"/>
          <w:rFonts w:cs="Arial"/>
          <w:sz w:val="22"/>
          <w:szCs w:val="22"/>
        </w:rPr>
      </w:pPr>
      <w:r>
        <w:t>To</w:t>
      </w:r>
      <w:r w:rsidR="00546600">
        <w:t xml:space="preserve"> deliver this work, a sequential workplan has been drafte</w:t>
      </w:r>
      <w:r w:rsidR="002D72EC">
        <w:t xml:space="preserve">d to ensure tenants are able to and are supported to engage. </w:t>
      </w:r>
      <w:r w:rsidR="29F2943A">
        <w:t xml:space="preserve">Our first steps will be to: </w:t>
      </w:r>
    </w:p>
    <w:p w14:paraId="7224902A" w14:textId="3A712F78" w:rsidR="6A6FEA2A" w:rsidRDefault="08924D55" w:rsidP="00AD5A83">
      <w:pPr>
        <w:pStyle w:val="Bulletpoints"/>
        <w:tabs>
          <w:tab w:val="clear" w:pos="993"/>
        </w:tabs>
        <w:ind w:left="1560" w:hanging="426"/>
        <w:rPr>
          <w:rStyle w:val="normaltextrun"/>
          <w:rFonts w:cs="Arial"/>
          <w:sz w:val="22"/>
          <w:szCs w:val="22"/>
        </w:rPr>
      </w:pPr>
      <w:r>
        <w:t>e</w:t>
      </w:r>
      <w:r w:rsidR="0E296CB4">
        <w:t>stablish r</w:t>
      </w:r>
      <w:r w:rsidR="6A6FEA2A">
        <w:t>oadshow meeting</w:t>
      </w:r>
      <w:r w:rsidR="00AD5A83">
        <w:t>s</w:t>
      </w:r>
      <w:r w:rsidR="6A6FEA2A">
        <w:t xml:space="preserve"> with tenants </w:t>
      </w:r>
      <w:r w:rsidR="64BCA3FC">
        <w:t xml:space="preserve">across our stock and estates </w:t>
      </w:r>
      <w:r w:rsidR="6A6FEA2A">
        <w:t xml:space="preserve">to engage and introduce the </w:t>
      </w:r>
      <w:r w:rsidR="5B491FC7">
        <w:t xml:space="preserve">draft </w:t>
      </w:r>
      <w:r w:rsidR="6A6FEA2A">
        <w:t>reset plan and gain input/buy-in</w:t>
      </w:r>
      <w:r w:rsidR="00B352AE">
        <w:t xml:space="preserve"> to ensure as broad and diverse a tenant base as </w:t>
      </w:r>
      <w:proofErr w:type="gramStart"/>
      <w:r w:rsidR="00B352AE">
        <w:t>possible</w:t>
      </w:r>
      <w:r w:rsidR="00276EAB">
        <w:t>;</w:t>
      </w:r>
      <w:proofErr w:type="gramEnd"/>
    </w:p>
    <w:p w14:paraId="40E10814" w14:textId="64BF044C" w:rsidR="6A6FEA2A" w:rsidRDefault="14897EE2" w:rsidP="00AD5A83">
      <w:pPr>
        <w:pStyle w:val="Bulletpoints"/>
        <w:tabs>
          <w:tab w:val="clear" w:pos="993"/>
        </w:tabs>
        <w:ind w:left="1560" w:hanging="426"/>
        <w:rPr>
          <w:rStyle w:val="normaltextrun"/>
          <w:rFonts w:cs="Arial"/>
          <w:sz w:val="22"/>
          <w:szCs w:val="22"/>
        </w:rPr>
      </w:pPr>
      <w:r>
        <w:t>d</w:t>
      </w:r>
      <w:r w:rsidR="6A6FEA2A">
        <w:t>evelop a</w:t>
      </w:r>
      <w:r w:rsidR="6AD52B24">
        <w:t>n</w:t>
      </w:r>
      <w:r w:rsidR="6A6FEA2A">
        <w:t xml:space="preserve"> internal operating model that will enable formal recognition of </w:t>
      </w:r>
      <w:r w:rsidR="6EB99CFF">
        <w:t>tena</w:t>
      </w:r>
      <w:r w:rsidR="6A6FEA2A">
        <w:t>nt groups by OCC</w:t>
      </w:r>
      <w:r w:rsidR="453FE486">
        <w:t xml:space="preserve"> which will include a review of budgets to </w:t>
      </w:r>
      <w:r w:rsidR="702A0130">
        <w:t xml:space="preserve">facilitate </w:t>
      </w:r>
      <w:r w:rsidR="453FE486">
        <w:t>tenants coming together, locations where this can happen easily</w:t>
      </w:r>
      <w:r w:rsidR="00AD5A83">
        <w:t xml:space="preserve">, </w:t>
      </w:r>
      <w:r w:rsidR="00276EAB">
        <w:t>specifically</w:t>
      </w:r>
      <w:r w:rsidR="00AD5A83">
        <w:t xml:space="preserve">, small community </w:t>
      </w:r>
      <w:proofErr w:type="gramStart"/>
      <w:r w:rsidR="00AD5A83">
        <w:t>centres</w:t>
      </w:r>
      <w:r w:rsidR="00276EAB">
        <w:t>;</w:t>
      </w:r>
      <w:proofErr w:type="gramEnd"/>
    </w:p>
    <w:p w14:paraId="32A154A8" w14:textId="46951D1E" w:rsidR="6A6FEA2A" w:rsidRDefault="00276EAB" w:rsidP="00AD5A83">
      <w:pPr>
        <w:pStyle w:val="Bulletpoints"/>
        <w:tabs>
          <w:tab w:val="clear" w:pos="993"/>
        </w:tabs>
        <w:ind w:left="1560" w:hanging="426"/>
        <w:rPr>
          <w:rStyle w:val="normaltextrun"/>
          <w:rFonts w:cs="Arial"/>
          <w:sz w:val="22"/>
          <w:szCs w:val="22"/>
        </w:rPr>
      </w:pPr>
      <w:r>
        <w:lastRenderedPageBreak/>
        <w:t>r</w:t>
      </w:r>
      <w:r w:rsidR="6A6FEA2A">
        <w:t>un</w:t>
      </w:r>
      <w:r>
        <w:t xml:space="preserve"> an</w:t>
      </w:r>
      <w:r w:rsidR="6A6FEA2A">
        <w:t xml:space="preserve"> engagement and involvement campaign</w:t>
      </w:r>
      <w:r w:rsidR="004B7F53">
        <w:t xml:space="preserve"> </w:t>
      </w:r>
      <w:r w:rsidR="6A6FEA2A">
        <w:t xml:space="preserve">to increase tenant awareness, involvement and </w:t>
      </w:r>
      <w:proofErr w:type="gramStart"/>
      <w:r w:rsidR="6A6FEA2A">
        <w:t>representation</w:t>
      </w:r>
      <w:r>
        <w:t>;</w:t>
      </w:r>
      <w:proofErr w:type="gramEnd"/>
    </w:p>
    <w:p w14:paraId="0E6075EE" w14:textId="42167221" w:rsidR="6A6FEA2A" w:rsidRDefault="178F78B0" w:rsidP="00AD5A83">
      <w:pPr>
        <w:pStyle w:val="Bulletpoints"/>
        <w:tabs>
          <w:tab w:val="clear" w:pos="993"/>
        </w:tabs>
        <w:ind w:left="1560" w:hanging="426"/>
        <w:rPr>
          <w:rStyle w:val="normaltextrun"/>
          <w:rFonts w:cs="Arial"/>
          <w:sz w:val="22"/>
          <w:szCs w:val="22"/>
        </w:rPr>
      </w:pPr>
      <w:r>
        <w:t>o</w:t>
      </w:r>
      <w:r w:rsidR="6A6FEA2A">
        <w:t>nce groups are established</w:t>
      </w:r>
      <w:r w:rsidR="00276EAB">
        <w:t xml:space="preserve">, </w:t>
      </w:r>
      <w:r w:rsidR="6A6FEA2A">
        <w:t xml:space="preserve">develop </w:t>
      </w:r>
      <w:r w:rsidR="00276EAB">
        <w:t xml:space="preserve">a </w:t>
      </w:r>
      <w:r w:rsidR="6A6FEA2A">
        <w:t xml:space="preserve">training and development programme to support them and </w:t>
      </w:r>
      <w:r w:rsidR="00276EAB">
        <w:t xml:space="preserve">the </w:t>
      </w:r>
      <w:r w:rsidR="6A6FEA2A">
        <w:t xml:space="preserve">housing </w:t>
      </w:r>
      <w:proofErr w:type="gramStart"/>
      <w:r w:rsidR="6A6FEA2A">
        <w:t>teams</w:t>
      </w:r>
      <w:r w:rsidR="00276EAB">
        <w:t>;</w:t>
      </w:r>
      <w:proofErr w:type="gramEnd"/>
    </w:p>
    <w:p w14:paraId="1B7ABDCD" w14:textId="46BBA14E" w:rsidR="4D103BAC" w:rsidRDefault="778E4836" w:rsidP="00AD5A83">
      <w:pPr>
        <w:pStyle w:val="Bulletpoints"/>
        <w:tabs>
          <w:tab w:val="clear" w:pos="993"/>
        </w:tabs>
        <w:ind w:left="1560" w:hanging="426"/>
        <w:rPr>
          <w:sz w:val="22"/>
          <w:szCs w:val="22"/>
        </w:rPr>
      </w:pPr>
      <w:r>
        <w:t>d</w:t>
      </w:r>
      <w:r w:rsidR="4DDACF9A">
        <w:t>evelop a c</w:t>
      </w:r>
      <w:r w:rsidR="4D103BAC">
        <w:t>ommunication</w:t>
      </w:r>
      <w:r w:rsidR="6A6FEA2A">
        <w:t xml:space="preserve"> plan </w:t>
      </w:r>
      <w:r w:rsidR="009346A0">
        <w:t xml:space="preserve">in line with the Consumer Standards </w:t>
      </w:r>
      <w:r w:rsidR="6A6FEA2A">
        <w:t xml:space="preserve">for sharing </w:t>
      </w:r>
      <w:r w:rsidR="7B8BF427">
        <w:t>engagement</w:t>
      </w:r>
      <w:r w:rsidR="6A6FEA2A">
        <w:t xml:space="preserve">, </w:t>
      </w:r>
      <w:r w:rsidR="693AC77E">
        <w:t>activities</w:t>
      </w:r>
      <w:r w:rsidR="6A6FEA2A">
        <w:t xml:space="preserve"> and performance to </w:t>
      </w:r>
      <w:proofErr w:type="gramStart"/>
      <w:r w:rsidR="6A6FEA2A">
        <w:t>groups</w:t>
      </w:r>
      <w:r w:rsidR="009346A0">
        <w:t>;</w:t>
      </w:r>
      <w:proofErr w:type="gramEnd"/>
      <w:r w:rsidR="6A6FEA2A">
        <w:t xml:space="preserve"> </w:t>
      </w:r>
    </w:p>
    <w:p w14:paraId="0B5CC752" w14:textId="0BA5F807" w:rsidR="00C80117" w:rsidRPr="00AD5A83" w:rsidRDefault="316916CB" w:rsidP="00AD5A83">
      <w:pPr>
        <w:pStyle w:val="Bulletpoints"/>
        <w:tabs>
          <w:tab w:val="clear" w:pos="993"/>
        </w:tabs>
        <w:ind w:left="1560" w:hanging="426"/>
        <w:rPr>
          <w:sz w:val="22"/>
          <w:szCs w:val="22"/>
        </w:rPr>
      </w:pPr>
      <w:r>
        <w:t>r</w:t>
      </w:r>
      <w:r w:rsidR="00C80117">
        <w:t>edesign job descriptions in line with the broader re-organisation described below.</w:t>
      </w:r>
    </w:p>
    <w:p w14:paraId="6E2015AE" w14:textId="68E2808B" w:rsidR="00AD5A83" w:rsidRDefault="2407AB12" w:rsidP="147D9EAB">
      <w:pPr>
        <w:pStyle w:val="Numberedlist"/>
        <w:rPr>
          <w:sz w:val="22"/>
          <w:szCs w:val="22"/>
        </w:rPr>
      </w:pPr>
      <w:r w:rsidRPr="147D9EAB">
        <w:rPr>
          <w:sz w:val="22"/>
          <w:szCs w:val="22"/>
        </w:rPr>
        <w:t>It is recommended therefore that Cabinet approve this reset and approach</w:t>
      </w:r>
      <w:r w:rsidR="66FB29CD" w:rsidRPr="147D9EAB">
        <w:rPr>
          <w:sz w:val="22"/>
          <w:szCs w:val="22"/>
        </w:rPr>
        <w:t xml:space="preserve"> and </w:t>
      </w:r>
      <w:r w:rsidR="28130A61" w:rsidRPr="147D9EAB">
        <w:rPr>
          <w:sz w:val="22"/>
          <w:szCs w:val="22"/>
        </w:rPr>
        <w:t xml:space="preserve">delegates </w:t>
      </w:r>
      <w:r w:rsidR="66FB29CD" w:rsidRPr="147D9EAB">
        <w:rPr>
          <w:sz w:val="22"/>
          <w:szCs w:val="22"/>
        </w:rPr>
        <w:t>authority to the Executive Director for Housing and Communities</w:t>
      </w:r>
      <w:r w:rsidR="33271F45" w:rsidRPr="147D9EAB">
        <w:rPr>
          <w:sz w:val="22"/>
          <w:szCs w:val="22"/>
        </w:rPr>
        <w:t xml:space="preserve"> to make any further changes in line with service development and changes to legislation. </w:t>
      </w:r>
    </w:p>
    <w:p w14:paraId="2146D91E" w14:textId="65572EB8" w:rsidR="6A6FEA2A" w:rsidRDefault="6A6FEA2A" w:rsidP="3320385D">
      <w:pPr>
        <w:pStyle w:val="Numberedlist"/>
        <w:numPr>
          <w:ilvl w:val="0"/>
          <w:numId w:val="0"/>
        </w:numPr>
        <w:rPr>
          <w:rStyle w:val="normaltextrun"/>
          <w:rFonts w:cs="Arial"/>
          <w:b/>
          <w:bCs/>
          <w:sz w:val="22"/>
          <w:szCs w:val="22"/>
        </w:rPr>
      </w:pPr>
      <w:r w:rsidRPr="3320385D">
        <w:rPr>
          <w:b/>
          <w:bCs/>
        </w:rPr>
        <w:t>Landlord Services Re-o</w:t>
      </w:r>
      <w:r w:rsidR="35F4175B" w:rsidRPr="3320385D">
        <w:rPr>
          <w:b/>
          <w:bCs/>
        </w:rPr>
        <w:t>rganisation</w:t>
      </w:r>
    </w:p>
    <w:p w14:paraId="5F653388" w14:textId="42EDB7D8" w:rsidR="2493251C" w:rsidRDefault="2493251C" w:rsidP="0AA7CCB9">
      <w:pPr>
        <w:pStyle w:val="Numberedlist"/>
        <w:rPr>
          <w:rStyle w:val="normaltextrun"/>
          <w:rFonts w:cs="Arial"/>
          <w:sz w:val="22"/>
          <w:szCs w:val="22"/>
        </w:rPr>
      </w:pPr>
      <w:r>
        <w:t>The tenant engagement reset sits within the broader re-organisation of the Landlord Service</w:t>
      </w:r>
      <w:r w:rsidR="71CD0E21">
        <w:t xml:space="preserve"> which is due to launch in the </w:t>
      </w:r>
      <w:r w:rsidR="6AAD6824">
        <w:t>N</w:t>
      </w:r>
      <w:r w:rsidR="71CD0E21">
        <w:t xml:space="preserve">ew </w:t>
      </w:r>
      <w:r w:rsidR="0EA67C62">
        <w:t>Y</w:t>
      </w:r>
      <w:r w:rsidR="71CD0E21">
        <w:t>ear.</w:t>
      </w:r>
    </w:p>
    <w:p w14:paraId="4006E518" w14:textId="4CFFB0BD" w:rsidR="71CD0E21" w:rsidRDefault="71CD0E21" w:rsidP="0AA7CCB9">
      <w:pPr>
        <w:pStyle w:val="Numberedlist"/>
        <w:rPr>
          <w:rStyle w:val="normaltextrun"/>
          <w:rFonts w:cs="Arial"/>
          <w:sz w:val="22"/>
          <w:szCs w:val="22"/>
        </w:rPr>
      </w:pPr>
      <w:r>
        <w:t>The aim of the re-</w:t>
      </w:r>
      <w:r w:rsidR="15A5717B">
        <w:t>organisation</w:t>
      </w:r>
      <w:r>
        <w:t xml:space="preserve"> is to create a modern Tenancy and Housing Management service that prioritises customer excellence</w:t>
      </w:r>
      <w:r w:rsidR="00841C35">
        <w:t>,</w:t>
      </w:r>
      <w:r>
        <w:t xml:space="preserve"> </w:t>
      </w:r>
      <w:r w:rsidR="009346A0">
        <w:t xml:space="preserve">responds </w:t>
      </w:r>
      <w:r>
        <w:t xml:space="preserve">to </w:t>
      </w:r>
      <w:r w:rsidR="009346A0">
        <w:t>tenants’</w:t>
      </w:r>
      <w:r w:rsidR="00BD2A81">
        <w:t xml:space="preserve"> </w:t>
      </w:r>
      <w:r>
        <w:t xml:space="preserve">needs </w:t>
      </w:r>
      <w:proofErr w:type="gramStart"/>
      <w:r w:rsidR="009346A0">
        <w:t>in order to</w:t>
      </w:r>
      <w:proofErr w:type="gramEnd"/>
      <w:r w:rsidR="009346A0">
        <w:t xml:space="preserve"> </w:t>
      </w:r>
      <w:r>
        <w:t>prevent problems with their tenancie</w:t>
      </w:r>
      <w:r w:rsidR="00F12724">
        <w:t>s</w:t>
      </w:r>
      <w:r>
        <w:t xml:space="preserve"> </w:t>
      </w:r>
      <w:r w:rsidR="65C26CA7">
        <w:t>improves</w:t>
      </w:r>
      <w:r>
        <w:t xml:space="preserve"> the quality of their homes </w:t>
      </w:r>
      <w:r w:rsidR="19027635">
        <w:t xml:space="preserve">and enhances the quality of their lives.  </w:t>
      </w:r>
      <w:r w:rsidR="4EBA535A">
        <w:t xml:space="preserve">It will be a new service where staff have pride in what they do and how they do it, and in doing so make a difference to tenants’ </w:t>
      </w:r>
      <w:proofErr w:type="gramStart"/>
      <w:r w:rsidR="4EBA535A">
        <w:t>lives</w:t>
      </w:r>
      <w:proofErr w:type="gramEnd"/>
    </w:p>
    <w:p w14:paraId="469EC142" w14:textId="620EBCF3" w:rsidR="71CD0E21" w:rsidRDefault="71CD0E21" w:rsidP="004D464E">
      <w:pPr>
        <w:pStyle w:val="Numberedlist"/>
        <w:spacing w:after="0"/>
        <w:rPr>
          <w:rFonts w:eastAsia="Arial" w:cs="Arial"/>
          <w:sz w:val="22"/>
          <w:szCs w:val="22"/>
        </w:rPr>
      </w:pPr>
      <w:r>
        <w:t xml:space="preserve">The core objectives will be to support and enable tenants to live in their properties as independently as possible, providing practical support when needed, improving customer satisfaction which in turn will lead to a reduction in complaints.  The new service will </w:t>
      </w:r>
      <w:r w:rsidR="00852EB5">
        <w:t>focus on 4 key strands</w:t>
      </w:r>
      <w:r>
        <w:t>:</w:t>
      </w:r>
    </w:p>
    <w:p w14:paraId="6FAD0951" w14:textId="77777777" w:rsidR="004D464E" w:rsidRDefault="004D464E" w:rsidP="004D464E">
      <w:pPr>
        <w:pStyle w:val="Numberedlist"/>
        <w:numPr>
          <w:ilvl w:val="0"/>
          <w:numId w:val="0"/>
        </w:numPr>
        <w:rPr>
          <w:b/>
          <w:bCs/>
          <w:lang w:val="en-US"/>
        </w:rPr>
      </w:pPr>
    </w:p>
    <w:p w14:paraId="5C4B5239" w14:textId="5CA3FB64" w:rsidR="004D464E" w:rsidRPr="005521AB" w:rsidRDefault="004D464E" w:rsidP="3717E72C">
      <w:pPr>
        <w:pStyle w:val="Numberedlist"/>
        <w:numPr>
          <w:ilvl w:val="0"/>
          <w:numId w:val="0"/>
        </w:numPr>
        <w:rPr>
          <w:rFonts w:eastAsia="Arial" w:cs="Arial"/>
          <w:sz w:val="22"/>
          <w:szCs w:val="22"/>
          <w:u w:val="single"/>
          <w:lang w:val="en-US"/>
        </w:rPr>
      </w:pPr>
      <w:r w:rsidRPr="3717E72C">
        <w:rPr>
          <w:u w:val="single"/>
          <w:lang w:val="en-US"/>
        </w:rPr>
        <w:t xml:space="preserve">Tenant </w:t>
      </w:r>
      <w:r w:rsidR="206A27BB" w:rsidRPr="3717E72C">
        <w:rPr>
          <w:u w:val="single"/>
          <w:lang w:val="en-US"/>
        </w:rPr>
        <w:t>Engagement</w:t>
      </w:r>
      <w:r w:rsidRPr="3717E72C">
        <w:rPr>
          <w:u w:val="single"/>
          <w:lang w:val="en-US"/>
        </w:rPr>
        <w:t>:</w:t>
      </w:r>
    </w:p>
    <w:p w14:paraId="509E40D4" w14:textId="77777777" w:rsidR="004D464E" w:rsidRDefault="004D464E" w:rsidP="004D464E">
      <w:pPr>
        <w:pStyle w:val="Numberedlist"/>
        <w:rPr>
          <w:rFonts w:eastAsia="Arial" w:cs="Arial"/>
          <w:sz w:val="22"/>
          <w:szCs w:val="22"/>
        </w:rPr>
      </w:pPr>
      <w:r w:rsidRPr="0FC2D3C5">
        <w:t xml:space="preserve">The voices of our tenants should be clearly reflected in our work – from our policies to the shape of our services – and there is significant strategic work needed to develop this area.  </w:t>
      </w:r>
    </w:p>
    <w:p w14:paraId="6229E2F9" w14:textId="0780B632" w:rsidR="004D464E" w:rsidRDefault="00BD27A6" w:rsidP="004D464E">
      <w:pPr>
        <w:pStyle w:val="Numberedlist"/>
        <w:rPr>
          <w:rFonts w:eastAsia="Arial" w:cs="Arial"/>
          <w:sz w:val="22"/>
          <w:szCs w:val="22"/>
          <w:lang w:val="en-US"/>
        </w:rPr>
      </w:pPr>
      <w:r w:rsidRPr="147D9EAB">
        <w:rPr>
          <w:lang w:val="en-US"/>
        </w:rPr>
        <w:t xml:space="preserve">A </w:t>
      </w:r>
      <w:r w:rsidR="004D464E" w:rsidRPr="147D9EAB">
        <w:rPr>
          <w:lang w:val="en-US"/>
        </w:rPr>
        <w:t xml:space="preserve">new Tenant Involvement and Engagement strategy that sets out a clear direction of travel to: </w:t>
      </w:r>
    </w:p>
    <w:p w14:paraId="7BF5621D" w14:textId="5657F9A7" w:rsidR="004D464E" w:rsidRDefault="004D464E" w:rsidP="3320385D">
      <w:pPr>
        <w:pStyle w:val="Bulletpoints"/>
        <w:rPr>
          <w:rFonts w:eastAsia="Arial" w:cs="Arial"/>
          <w:sz w:val="22"/>
          <w:szCs w:val="22"/>
          <w:lang w:val="en-US"/>
        </w:rPr>
      </w:pPr>
      <w:r w:rsidRPr="3320385D">
        <w:rPr>
          <w:lang w:val="en-US"/>
        </w:rPr>
        <w:t xml:space="preserve">increase and diversify the tenants that are engaging with us, providing a range of ways to engage that suit our tenants depending on their </w:t>
      </w:r>
      <w:proofErr w:type="gramStart"/>
      <w:r w:rsidRPr="3320385D">
        <w:rPr>
          <w:lang w:val="en-US"/>
        </w:rPr>
        <w:t>circumstances</w:t>
      </w:r>
      <w:r w:rsidR="009346A0" w:rsidRPr="3320385D">
        <w:rPr>
          <w:lang w:val="en-US"/>
        </w:rPr>
        <w:t>;</w:t>
      </w:r>
      <w:proofErr w:type="gramEnd"/>
    </w:p>
    <w:p w14:paraId="0FC1F5D0" w14:textId="38A77662" w:rsidR="004D464E" w:rsidRDefault="004D464E" w:rsidP="3320385D">
      <w:pPr>
        <w:pStyle w:val="Bulletpoints"/>
        <w:rPr>
          <w:rFonts w:eastAsia="Arial" w:cs="Arial"/>
          <w:sz w:val="22"/>
          <w:szCs w:val="22"/>
          <w:lang w:val="en-US"/>
        </w:rPr>
      </w:pPr>
      <w:r w:rsidRPr="22003EDA">
        <w:rPr>
          <w:lang w:val="en-US"/>
        </w:rPr>
        <w:t xml:space="preserve">set out a clear plan of accountability, enabling our tenants to shape and provide feedback on the services we provide them, including the development of </w:t>
      </w:r>
      <w:r w:rsidR="6CFE4299" w:rsidRPr="22003EDA">
        <w:rPr>
          <w:lang w:val="en-US"/>
        </w:rPr>
        <w:t xml:space="preserve">clear governance arrangements including a tenant representative </w:t>
      </w:r>
      <w:proofErr w:type="gramStart"/>
      <w:r w:rsidR="6CFE4299" w:rsidRPr="22003EDA">
        <w:rPr>
          <w:lang w:val="en-US"/>
        </w:rPr>
        <w:t>forum</w:t>
      </w:r>
      <w:r w:rsidR="009346A0" w:rsidRPr="22003EDA">
        <w:rPr>
          <w:lang w:val="en-US"/>
        </w:rPr>
        <w:t>;</w:t>
      </w:r>
      <w:proofErr w:type="gramEnd"/>
    </w:p>
    <w:p w14:paraId="1EFFE908" w14:textId="757FBB8E" w:rsidR="004D464E" w:rsidRDefault="004D464E" w:rsidP="3320385D">
      <w:pPr>
        <w:pStyle w:val="Bulletpoints"/>
        <w:rPr>
          <w:rFonts w:eastAsia="Arial" w:cs="Arial"/>
          <w:sz w:val="22"/>
          <w:szCs w:val="22"/>
          <w:lang w:val="en-US"/>
        </w:rPr>
      </w:pPr>
      <w:r w:rsidRPr="3320385D">
        <w:rPr>
          <w:lang w:val="en-US"/>
        </w:rPr>
        <w:t xml:space="preserve">improve our communication and transparency – sharing our performance data and inviting feedback and follow </w:t>
      </w:r>
      <w:proofErr w:type="gramStart"/>
      <w:r w:rsidRPr="3320385D">
        <w:rPr>
          <w:lang w:val="en-US"/>
        </w:rPr>
        <w:t>up</w:t>
      </w:r>
      <w:r w:rsidR="009346A0" w:rsidRPr="3320385D">
        <w:rPr>
          <w:lang w:val="en-US"/>
        </w:rPr>
        <w:t>;</w:t>
      </w:r>
      <w:proofErr w:type="gramEnd"/>
    </w:p>
    <w:p w14:paraId="5A9BA1C9" w14:textId="49EBE86C" w:rsidR="004D464E" w:rsidRDefault="004D464E" w:rsidP="3320385D">
      <w:pPr>
        <w:pStyle w:val="Bulletpoints"/>
        <w:rPr>
          <w:rFonts w:eastAsia="Arial" w:cs="Arial"/>
          <w:sz w:val="22"/>
          <w:szCs w:val="22"/>
          <w:lang w:val="en-US"/>
        </w:rPr>
      </w:pPr>
      <w:r w:rsidRPr="3320385D">
        <w:rPr>
          <w:lang w:val="en-US"/>
        </w:rPr>
        <w:t>further evolve our complaint handling, ensuring that ownership is taken at the first opportunity to prevent issues escalating, but that the necessary learning and feedback is driven back through the service</w:t>
      </w:r>
      <w:r w:rsidR="009346A0" w:rsidRPr="3320385D">
        <w:rPr>
          <w:lang w:val="en-US"/>
        </w:rPr>
        <w:t>.</w:t>
      </w:r>
    </w:p>
    <w:p w14:paraId="4944CE59" w14:textId="77777777" w:rsidR="004D464E" w:rsidRDefault="004D464E" w:rsidP="004D464E">
      <w:pPr>
        <w:pStyle w:val="Numberedlist"/>
        <w:numPr>
          <w:ilvl w:val="0"/>
          <w:numId w:val="0"/>
        </w:numPr>
        <w:ind w:left="567"/>
        <w:rPr>
          <w:b/>
          <w:bCs/>
          <w:lang w:val="en-US"/>
        </w:rPr>
      </w:pPr>
    </w:p>
    <w:p w14:paraId="600411FB" w14:textId="50663EDC" w:rsidR="71CD0E21" w:rsidRPr="005521AB" w:rsidRDefault="71CD0E21" w:rsidP="3320385D">
      <w:pPr>
        <w:pStyle w:val="Numberedlist"/>
        <w:numPr>
          <w:ilvl w:val="0"/>
          <w:numId w:val="0"/>
        </w:numPr>
        <w:rPr>
          <w:rFonts w:eastAsia="Arial" w:cs="Arial"/>
          <w:sz w:val="22"/>
          <w:szCs w:val="22"/>
          <w:u w:val="single"/>
          <w:lang w:val="en-US"/>
        </w:rPr>
      </w:pPr>
      <w:r w:rsidRPr="3320385D">
        <w:rPr>
          <w:u w:val="single"/>
          <w:lang w:val="en-US"/>
        </w:rPr>
        <w:t>Respond</w:t>
      </w:r>
      <w:r w:rsidR="3E6B7F5E" w:rsidRPr="3320385D">
        <w:rPr>
          <w:u w:val="single"/>
          <w:lang w:val="en-US"/>
        </w:rPr>
        <w:t xml:space="preserve"> better</w:t>
      </w:r>
      <w:r w:rsidRPr="3320385D">
        <w:rPr>
          <w:u w:val="single"/>
          <w:lang w:val="en-US"/>
        </w:rPr>
        <w:t xml:space="preserve"> to tenants’ needs:</w:t>
      </w:r>
      <w:r w:rsidR="009346A0" w:rsidRPr="3320385D">
        <w:rPr>
          <w:u w:val="single"/>
          <w:lang w:val="en-US"/>
        </w:rPr>
        <w:t xml:space="preserve"> </w:t>
      </w:r>
    </w:p>
    <w:p w14:paraId="1A19D85D" w14:textId="6416EF92" w:rsidR="71CD0E21" w:rsidRDefault="71CD0E21" w:rsidP="0AA7CCB9">
      <w:pPr>
        <w:pStyle w:val="Numberedlist"/>
        <w:rPr>
          <w:rFonts w:eastAsia="Arial" w:cs="Arial"/>
          <w:sz w:val="22"/>
          <w:szCs w:val="22"/>
          <w:lang w:val="en-US"/>
        </w:rPr>
      </w:pPr>
      <w:r w:rsidRPr="0FC2D3C5">
        <w:rPr>
          <w:lang w:val="en-US"/>
        </w:rPr>
        <w:t>Serving our communities and tenants should be our driving force, and a key motivator for our staff.  Taking a proactive, preventative approach will not only benefit tenants but also ease the high demand and financial pressure on the Council.</w:t>
      </w:r>
    </w:p>
    <w:p w14:paraId="6937D596" w14:textId="39A643CF" w:rsidR="71CD0E21" w:rsidRDefault="71CD0E21" w:rsidP="0AA7CCB9">
      <w:pPr>
        <w:pStyle w:val="Numberedlist"/>
        <w:rPr>
          <w:rFonts w:eastAsia="Arial" w:cs="Arial"/>
          <w:sz w:val="22"/>
          <w:szCs w:val="22"/>
          <w:lang w:val="en-US"/>
        </w:rPr>
      </w:pPr>
      <w:r w:rsidRPr="0FC2D3C5">
        <w:rPr>
          <w:lang w:val="en-US"/>
        </w:rPr>
        <w:t xml:space="preserve">We want our tenants to be happy in their homes and in their communities.  We need to be proactive to identify and solve problems to prevent them escalating when they could very simply be resolved if we knew about them and acted at the right time. </w:t>
      </w:r>
    </w:p>
    <w:p w14:paraId="0BA667E0" w14:textId="71E1BFA0" w:rsidR="71CD0E21" w:rsidRDefault="71CD0E21" w:rsidP="0AA7CCB9">
      <w:pPr>
        <w:pStyle w:val="Numberedlist"/>
        <w:rPr>
          <w:rFonts w:eastAsia="Arial" w:cs="Arial"/>
          <w:sz w:val="22"/>
          <w:szCs w:val="22"/>
          <w:lang w:val="en-US"/>
        </w:rPr>
      </w:pPr>
      <w:r w:rsidRPr="0AA7CCB9">
        <w:rPr>
          <w:lang w:val="en-US"/>
        </w:rPr>
        <w:t xml:space="preserve">We need to ensure that we provide a high level of services to all our tenants, whilst targeting response to a minority who may need them most, as well as those that cause problems for others. </w:t>
      </w:r>
    </w:p>
    <w:p w14:paraId="47203D35" w14:textId="4D8E6929" w:rsidR="71CD0E21" w:rsidRDefault="71CD0E21" w:rsidP="0FC2D3C5">
      <w:pPr>
        <w:pStyle w:val="Numberedlist"/>
        <w:rPr>
          <w:rFonts w:eastAsia="Arial" w:cs="Arial"/>
          <w:sz w:val="22"/>
          <w:szCs w:val="22"/>
        </w:rPr>
      </w:pPr>
      <w:r w:rsidRPr="0FC2D3C5">
        <w:t xml:space="preserve">We must also ensure that people can live safely in their homes. Often this may come down to recognising that the most vulnerable need a range of services, including domestic abuse, mental health support, Occupational Therapy assessments, aids or adaptations, or even different kinds of accommodation.  </w:t>
      </w:r>
    </w:p>
    <w:p w14:paraId="7BD51D86" w14:textId="42F0155B" w:rsidR="71CD0E21" w:rsidRDefault="71CD0E21" w:rsidP="0AA7CCB9">
      <w:pPr>
        <w:pStyle w:val="Numberedlist"/>
        <w:rPr>
          <w:rFonts w:eastAsia="Arial" w:cs="Arial"/>
          <w:sz w:val="22"/>
          <w:szCs w:val="22"/>
          <w:lang w:val="en-US"/>
        </w:rPr>
      </w:pPr>
      <w:r w:rsidRPr="0AA7CCB9">
        <w:rPr>
          <w:lang w:val="en-US"/>
        </w:rPr>
        <w:t>Resetting this relationship between officers and tenants is crucial. This will require a redefinition of job roles and the deployment of a range of soft skills</w:t>
      </w:r>
      <w:r w:rsidR="5A5992F5" w:rsidRPr="0AA7CCB9">
        <w:rPr>
          <w:lang w:val="en-US"/>
        </w:rPr>
        <w:t>.</w:t>
      </w:r>
    </w:p>
    <w:p w14:paraId="32559F79" w14:textId="37260F49" w:rsidR="71CD0E21" w:rsidRPr="005521AB" w:rsidRDefault="71CD0E21" w:rsidP="3320385D">
      <w:pPr>
        <w:pStyle w:val="Numberedlist"/>
        <w:numPr>
          <w:ilvl w:val="0"/>
          <w:numId w:val="0"/>
        </w:numPr>
        <w:rPr>
          <w:rFonts w:eastAsia="Arial" w:cs="Arial"/>
          <w:sz w:val="22"/>
          <w:szCs w:val="22"/>
          <w:u w:val="single"/>
          <w:lang w:val="en-US"/>
        </w:rPr>
      </w:pPr>
      <w:r w:rsidRPr="3320385D">
        <w:rPr>
          <w:u w:val="single"/>
          <w:lang w:val="en-US"/>
        </w:rPr>
        <w:t>Looking after our Estates better:</w:t>
      </w:r>
    </w:p>
    <w:p w14:paraId="631CF4FA" w14:textId="51A02D38" w:rsidR="71CD0E21" w:rsidRDefault="71CD0E21" w:rsidP="0FC2D3C5">
      <w:pPr>
        <w:pStyle w:val="Numberedlist"/>
        <w:rPr>
          <w:rFonts w:eastAsia="Arial" w:cs="Arial"/>
          <w:sz w:val="22"/>
          <w:szCs w:val="22"/>
        </w:rPr>
      </w:pPr>
      <w:r>
        <w:t xml:space="preserve">We need to give greater priority to how we care for our estates by creating a new regime of estate inspections, which will co-ordinate with the caretaking and cleaning services currently delivered by ODS.  This will identify the day-to-day improvements needed, responding to them swiftly and effectively.  </w:t>
      </w:r>
    </w:p>
    <w:p w14:paraId="79C7046B" w14:textId="1A731E30" w:rsidR="71CD0E21" w:rsidRDefault="71CD0E21" w:rsidP="0AA7CCB9">
      <w:pPr>
        <w:pStyle w:val="Numberedlist"/>
        <w:rPr>
          <w:rFonts w:eastAsia="Arial" w:cs="Arial"/>
          <w:sz w:val="22"/>
          <w:szCs w:val="22"/>
          <w:lang w:val="en-US"/>
        </w:rPr>
      </w:pPr>
      <w:r w:rsidRPr="0AA7CCB9">
        <w:rPr>
          <w:lang w:val="en-US"/>
        </w:rPr>
        <w:t xml:space="preserve">The service will also interact with the Property Team, identifying and supporting where more extensive communal and estate-based work is required to comply with the </w:t>
      </w:r>
      <w:proofErr w:type="spellStart"/>
      <w:r w:rsidRPr="0AA7CCB9">
        <w:rPr>
          <w:lang w:val="en-US"/>
        </w:rPr>
        <w:t>Neighbourhood</w:t>
      </w:r>
      <w:proofErr w:type="spellEnd"/>
      <w:r w:rsidRPr="0AA7CCB9">
        <w:rPr>
          <w:lang w:val="en-US"/>
        </w:rPr>
        <w:t xml:space="preserve"> Standard.</w:t>
      </w:r>
    </w:p>
    <w:p w14:paraId="7967E016" w14:textId="4C9794BE" w:rsidR="71CD0E21" w:rsidRDefault="71CD0E21" w:rsidP="0AA7CCB9">
      <w:pPr>
        <w:pStyle w:val="Numberedlist"/>
        <w:numPr>
          <w:ilvl w:val="0"/>
          <w:numId w:val="0"/>
        </w:numPr>
        <w:rPr>
          <w:lang w:val="en-US"/>
        </w:rPr>
      </w:pPr>
    </w:p>
    <w:p w14:paraId="7189E12C" w14:textId="1995ADD0" w:rsidR="71CD0E21" w:rsidRPr="005521AB" w:rsidRDefault="71CD0E21" w:rsidP="3320385D">
      <w:pPr>
        <w:pStyle w:val="Numberedlist"/>
        <w:numPr>
          <w:ilvl w:val="0"/>
          <w:numId w:val="0"/>
        </w:numPr>
        <w:rPr>
          <w:rFonts w:eastAsia="Arial" w:cs="Arial"/>
          <w:sz w:val="22"/>
          <w:szCs w:val="22"/>
          <w:u w:val="single"/>
          <w:lang w:val="en-US"/>
        </w:rPr>
      </w:pPr>
      <w:r w:rsidRPr="3320385D">
        <w:rPr>
          <w:u w:val="single"/>
          <w:lang w:val="en-US"/>
        </w:rPr>
        <w:t>Providing Better Jobs for our Staff</w:t>
      </w:r>
    </w:p>
    <w:p w14:paraId="7414F5D4" w14:textId="6D2690C8" w:rsidR="71CD0E21" w:rsidRDefault="71CD0E21" w:rsidP="0AA7CCB9">
      <w:pPr>
        <w:pStyle w:val="Numberedlist"/>
        <w:rPr>
          <w:rFonts w:eastAsia="Arial" w:cs="Arial"/>
          <w:sz w:val="22"/>
          <w:szCs w:val="22"/>
          <w:lang w:val="en-US"/>
        </w:rPr>
      </w:pPr>
      <w:r w:rsidRPr="175947BA">
        <w:rPr>
          <w:lang w:val="en-US"/>
        </w:rPr>
        <w:t>Delivering these services to our tenants will require a workforce with the right skills for the right jobs, that take responsibility and accountability and communicate effectively with tenants and Members.</w:t>
      </w:r>
      <w:r w:rsidR="45375DDD" w:rsidRPr="175947BA">
        <w:rPr>
          <w:lang w:val="en-US"/>
        </w:rPr>
        <w:t xml:space="preserve">  All roles will reflect the new Competency and Conduct Standard of the </w:t>
      </w:r>
      <w:r w:rsidR="009E556D" w:rsidRPr="175947BA">
        <w:rPr>
          <w:lang w:val="en-US"/>
        </w:rPr>
        <w:t>Regulator for Social Housing (RSH)</w:t>
      </w:r>
      <w:r w:rsidR="45375DDD" w:rsidRPr="175947BA">
        <w:rPr>
          <w:lang w:val="en-US"/>
        </w:rPr>
        <w:t>.</w:t>
      </w:r>
    </w:p>
    <w:p w14:paraId="5DF40412" w14:textId="1E8865E0" w:rsidR="71CD0E21" w:rsidRDefault="71CD0E21" w:rsidP="0FC2D3C5">
      <w:pPr>
        <w:pStyle w:val="Numberedlist"/>
        <w:rPr>
          <w:rFonts w:eastAsia="Arial" w:cs="Arial"/>
          <w:sz w:val="22"/>
          <w:szCs w:val="22"/>
        </w:rPr>
      </w:pPr>
      <w:r>
        <w:t>As we expand the Council’s stock either via new supply or acquisitions, we should expect that tenancy officers will encounter new job functions.  These new functions should be seen as opportunities for acquiring additional skills and competenc</w:t>
      </w:r>
      <w:r w:rsidR="009E556D">
        <w:t>i</w:t>
      </w:r>
      <w:r>
        <w:t>es for many, including the tenancy management of new stock.  We have therefore acknowledged the need to redefine the job roles and create new ones to ensure compliance with the SHA.</w:t>
      </w:r>
    </w:p>
    <w:p w14:paraId="543F29A7" w14:textId="3AD2F3ED" w:rsidR="71CD0E21" w:rsidRDefault="71CD0E21" w:rsidP="0FC2D3C5">
      <w:pPr>
        <w:pStyle w:val="Numberedlist"/>
        <w:rPr>
          <w:rFonts w:eastAsia="Arial" w:cs="Arial"/>
          <w:sz w:val="22"/>
          <w:szCs w:val="22"/>
        </w:rPr>
      </w:pPr>
      <w:proofErr w:type="gramStart"/>
      <w:r>
        <w:t>In order to</w:t>
      </w:r>
      <w:proofErr w:type="gramEnd"/>
      <w:r>
        <w:t xml:space="preserve"> effect the right cultural change, we will prepare a full departmental Training and Development Plan to ensure that all staff access refresher course and where appropriate bespoke training in areas necessary to fulfil the requirement of existing and future job descriptions.  We will also need to ensure </w:t>
      </w:r>
      <w:r>
        <w:lastRenderedPageBreak/>
        <w:t>that all staff make effective use of the new performance management arrangements, to help increase engagement between manager and employees and increase staff development and wellbeing.</w:t>
      </w:r>
    </w:p>
    <w:p w14:paraId="5FB55D52" w14:textId="0FD0A74A" w:rsidR="71CD0E21" w:rsidRDefault="71CD0E21" w:rsidP="3320385D">
      <w:pPr>
        <w:pStyle w:val="Numberedlist"/>
        <w:numPr>
          <w:ilvl w:val="0"/>
          <w:numId w:val="0"/>
        </w:numPr>
        <w:rPr>
          <w:rFonts w:eastAsia="Arial" w:cs="Arial"/>
          <w:sz w:val="22"/>
          <w:szCs w:val="22"/>
        </w:rPr>
      </w:pPr>
      <w:r w:rsidRPr="175947BA">
        <w:rPr>
          <w:u w:val="single"/>
          <w:lang w:val="en-US"/>
        </w:rPr>
        <w:t xml:space="preserve">Reform our ICT and digital customer </w:t>
      </w:r>
      <w:proofErr w:type="gramStart"/>
      <w:r w:rsidRPr="175947BA">
        <w:rPr>
          <w:u w:val="single"/>
          <w:lang w:val="en-US"/>
        </w:rPr>
        <w:t>interfaces</w:t>
      </w:r>
      <w:proofErr w:type="gramEnd"/>
      <w:r w:rsidR="009E556D" w:rsidRPr="175947BA">
        <w:rPr>
          <w:u w:val="single"/>
          <w:lang w:val="en-US"/>
        </w:rPr>
        <w:t xml:space="preserve"> </w:t>
      </w:r>
    </w:p>
    <w:p w14:paraId="4C6846E4" w14:textId="09C8CC66" w:rsidR="71CD0E21" w:rsidRDefault="298DB61A" w:rsidP="0FC2D3C5">
      <w:pPr>
        <w:pStyle w:val="Numberedlist"/>
        <w:rPr>
          <w:rFonts w:eastAsia="Arial" w:cs="Arial"/>
          <w:sz w:val="22"/>
          <w:szCs w:val="22"/>
        </w:rPr>
      </w:pPr>
      <w:r>
        <w:t xml:space="preserve">Further exploiting </w:t>
      </w:r>
      <w:r w:rsidR="71CD0E21">
        <w:t>QL a key tool in the transformation work in this area.</w:t>
      </w:r>
      <w:r w:rsidR="456F8C15">
        <w:t xml:space="preserve"> </w:t>
      </w:r>
      <w:r w:rsidR="76C3D124">
        <w:t xml:space="preserve">including </w:t>
      </w:r>
      <w:r w:rsidR="456F8C15">
        <w:t xml:space="preserve">the embedding of a new tenant portal </w:t>
      </w:r>
      <w:r w:rsidR="71CD0E21">
        <w:t>new portal</w:t>
      </w:r>
      <w:r w:rsidR="1780F5F1">
        <w:t xml:space="preserve"> which</w:t>
      </w:r>
      <w:r w:rsidR="71CD0E21">
        <w:t xml:space="preserve"> will allow tenants to access core landlord functions to self-service 24/7 whether they are at home or at work and regardless of what device they are using.   </w:t>
      </w:r>
    </w:p>
    <w:p w14:paraId="12451063" w14:textId="6B447566" w:rsidR="71CD0E21" w:rsidRDefault="71CD0E21" w:rsidP="0AA7CCB9">
      <w:pPr>
        <w:pStyle w:val="Numberedlist"/>
        <w:rPr>
          <w:rFonts w:eastAsia="Arial" w:cs="Arial"/>
          <w:sz w:val="22"/>
          <w:szCs w:val="22"/>
          <w:lang w:val="en-US"/>
        </w:rPr>
      </w:pPr>
      <w:r w:rsidRPr="0FC2D3C5">
        <w:rPr>
          <w:lang w:val="en-US"/>
        </w:rPr>
        <w:t>Improved data quality and management information via Power BI, will greatly improve the ability of staff to work effectively.  Staff will be able to use the additional time to be free up by greater automation and mobile working to focus on residents who need help the most, or to take more time to work on their personal development.</w:t>
      </w:r>
    </w:p>
    <w:p w14:paraId="55B9700B" w14:textId="77777777" w:rsidR="00585985" w:rsidRDefault="00585985" w:rsidP="0AA7CCB9">
      <w:pPr>
        <w:pStyle w:val="Numberedlist"/>
        <w:numPr>
          <w:ilvl w:val="0"/>
          <w:numId w:val="0"/>
        </w:numPr>
        <w:rPr>
          <w:b/>
          <w:bCs/>
        </w:rPr>
      </w:pPr>
    </w:p>
    <w:p w14:paraId="6B0FC1C8" w14:textId="7A3B730B" w:rsidR="51F9C117" w:rsidRDefault="51F9C117" w:rsidP="0AA7CCB9">
      <w:pPr>
        <w:pStyle w:val="Numberedlist"/>
        <w:numPr>
          <w:ilvl w:val="0"/>
          <w:numId w:val="0"/>
        </w:numPr>
        <w:rPr>
          <w:b/>
          <w:bCs/>
        </w:rPr>
      </w:pPr>
      <w:r w:rsidRPr="0AA7CCB9">
        <w:rPr>
          <w:b/>
          <w:bCs/>
        </w:rPr>
        <w:t xml:space="preserve">Financial implications </w:t>
      </w:r>
    </w:p>
    <w:p w14:paraId="79CDDAF7" w14:textId="5972D4BF" w:rsidR="008114FD" w:rsidRDefault="008114FD" w:rsidP="147D9EAB">
      <w:pPr>
        <w:pStyle w:val="Numberedlist"/>
      </w:pPr>
      <w:r>
        <w:t xml:space="preserve">In the </w:t>
      </w:r>
      <w:r w:rsidR="00D50E39">
        <w:t>2024/25 budget setting round</w:t>
      </w:r>
      <w:r w:rsidR="00210A8F">
        <w:t xml:space="preserve"> an additional £</w:t>
      </w:r>
      <w:r w:rsidR="002E48C3">
        <w:t>862</w:t>
      </w:r>
      <w:r w:rsidR="008E639D">
        <w:t xml:space="preserve">k was approved for </w:t>
      </w:r>
      <w:r w:rsidR="27FEC2A6">
        <w:t xml:space="preserve">resources </w:t>
      </w:r>
      <w:r w:rsidR="21A7DF90">
        <w:t xml:space="preserve">to ensure compliance with the requirements </w:t>
      </w:r>
      <w:r w:rsidR="00953469">
        <w:t xml:space="preserve">of the </w:t>
      </w:r>
      <w:r w:rsidR="0001201D">
        <w:t xml:space="preserve">Regulator for </w:t>
      </w:r>
      <w:r w:rsidR="00953469">
        <w:t>Social Housing</w:t>
      </w:r>
      <w:r w:rsidR="1C01A276">
        <w:t xml:space="preserve">, including </w:t>
      </w:r>
      <w:r w:rsidR="00953469">
        <w:t>Tenant Engagement</w:t>
      </w:r>
      <w:r w:rsidR="6E44169F">
        <w:t xml:space="preserve"> and Tenant Involvement</w:t>
      </w:r>
      <w:r w:rsidR="00953469">
        <w:t>.</w:t>
      </w:r>
    </w:p>
    <w:p w14:paraId="0A7BD982" w14:textId="53A8478D" w:rsidR="3ED0DBB8" w:rsidRDefault="3ED0DBB8" w:rsidP="147D9EAB">
      <w:pPr>
        <w:pStyle w:val="Numberedlist"/>
      </w:pPr>
      <w:r>
        <w:t>Whilst budgets will be reviewed to ensure delivery, it is anticipated</w:t>
      </w:r>
      <w:r w:rsidR="576AB8A7">
        <w:t xml:space="preserve"> that</w:t>
      </w:r>
      <w:r>
        <w:t xml:space="preserve"> </w:t>
      </w:r>
      <w:proofErr w:type="gramStart"/>
      <w:r>
        <w:t>as a result of</w:t>
      </w:r>
      <w:proofErr w:type="gramEnd"/>
      <w:r>
        <w:t xml:space="preserve"> efficiency and </w:t>
      </w:r>
      <w:r w:rsidR="00D2211B">
        <w:t>modernisation</w:t>
      </w:r>
      <w:r>
        <w:t xml:space="preserve"> that the new service will deliver within the current financial envelope</w:t>
      </w:r>
      <w:r w:rsidR="00D2211B">
        <w:t xml:space="preserve"> </w:t>
      </w:r>
      <w:r w:rsidR="0072172A">
        <w:t xml:space="preserve">as </w:t>
      </w:r>
      <w:r w:rsidR="00D2211B">
        <w:t>set out in the</w:t>
      </w:r>
      <w:r w:rsidR="0072172A">
        <w:t xml:space="preserve"> Council’s</w:t>
      </w:r>
      <w:r w:rsidR="00D2211B">
        <w:t xml:space="preserve"> Medium Term Financial Plan.</w:t>
      </w:r>
    </w:p>
    <w:p w14:paraId="1C9A4C0E" w14:textId="77777777" w:rsidR="00D2211B" w:rsidRDefault="00D2211B" w:rsidP="0AA7CCB9">
      <w:pPr>
        <w:pStyle w:val="Numberedlist"/>
        <w:numPr>
          <w:ilvl w:val="0"/>
          <w:numId w:val="0"/>
        </w:numPr>
        <w:rPr>
          <w:b/>
          <w:bCs/>
        </w:rPr>
      </w:pPr>
    </w:p>
    <w:p w14:paraId="629DB05F" w14:textId="7DDCD9BE" w:rsidR="0040736F" w:rsidRDefault="00DA614B" w:rsidP="0AA7CCB9">
      <w:pPr>
        <w:pStyle w:val="Numberedlist"/>
        <w:numPr>
          <w:ilvl w:val="0"/>
          <w:numId w:val="0"/>
        </w:numPr>
        <w:rPr>
          <w:b/>
          <w:bCs/>
        </w:rPr>
      </w:pPr>
      <w:r w:rsidRPr="147D9EAB">
        <w:rPr>
          <w:b/>
          <w:bCs/>
        </w:rPr>
        <w:t>Legal issues</w:t>
      </w:r>
    </w:p>
    <w:p w14:paraId="3642268C" w14:textId="0EA5C682" w:rsidR="002329CF" w:rsidRPr="001356F1" w:rsidRDefault="50BC592A" w:rsidP="147D9EAB">
      <w:pPr>
        <w:pStyle w:val="Numberedlist"/>
      </w:pPr>
      <w:r>
        <w:t xml:space="preserve"> This work seeks to strengthen the Council’s alignment and complian</w:t>
      </w:r>
      <w:r w:rsidR="2D9F8275">
        <w:t>ce</w:t>
      </w:r>
      <w:r>
        <w:t xml:space="preserve"> with the Social Housing Act </w:t>
      </w:r>
      <w:r w:rsidR="12EF121F">
        <w:t>2023</w:t>
      </w:r>
      <w:r w:rsidR="00CE5979">
        <w:t xml:space="preserve"> </w:t>
      </w:r>
      <w:r>
        <w:t>and its associated Consumer Standards.</w:t>
      </w:r>
    </w:p>
    <w:p w14:paraId="7B253439" w14:textId="03A2791D" w:rsidR="002329CF" w:rsidRPr="001356F1" w:rsidRDefault="31D8A941" w:rsidP="147D9EAB">
      <w:pPr>
        <w:pStyle w:val="Numberedlist"/>
        <w:numPr>
          <w:ilvl w:val="0"/>
          <w:numId w:val="0"/>
        </w:numPr>
      </w:pPr>
      <w:r w:rsidRPr="147D9EAB">
        <w:rPr>
          <w:b/>
          <w:bCs/>
        </w:rPr>
        <w:t>Level of Risk</w:t>
      </w:r>
    </w:p>
    <w:p w14:paraId="3F2B2D82" w14:textId="47416E42" w:rsidR="002329CF" w:rsidRPr="001356F1" w:rsidRDefault="31D8A941" w:rsidP="147D9EAB">
      <w:pPr>
        <w:pStyle w:val="Numberedlist"/>
      </w:pPr>
      <w:r>
        <w:t>Please see risk register, attached in Appendix 1</w:t>
      </w:r>
    </w:p>
    <w:p w14:paraId="779603FE" w14:textId="21AEAC75" w:rsidR="002329CF" w:rsidRPr="001356F1" w:rsidRDefault="31D8A941" w:rsidP="147D9EAB">
      <w:pPr>
        <w:pStyle w:val="Numberedlist"/>
        <w:numPr>
          <w:ilvl w:val="0"/>
          <w:numId w:val="0"/>
        </w:numPr>
      </w:pPr>
      <w:r w:rsidRPr="147D9EAB">
        <w:rPr>
          <w:b/>
          <w:bCs/>
        </w:rPr>
        <w:t>Equalities Impact Assessment</w:t>
      </w:r>
    </w:p>
    <w:p w14:paraId="2B035420" w14:textId="070B2010" w:rsidR="002329CF" w:rsidRPr="001356F1" w:rsidRDefault="31D8A941" w:rsidP="147D9EAB">
      <w:pPr>
        <w:pStyle w:val="Numberedlist"/>
      </w:pPr>
      <w:r>
        <w:t xml:space="preserve">A full </w:t>
      </w:r>
      <w:r w:rsidR="5E084DC7">
        <w:t>E</w:t>
      </w:r>
      <w:r>
        <w:t xml:space="preserve">qualities </w:t>
      </w:r>
      <w:r w:rsidR="70324E6C">
        <w:t>I</w:t>
      </w:r>
      <w:r>
        <w:t xml:space="preserve">mpact </w:t>
      </w:r>
      <w:r w:rsidR="146E72F0">
        <w:t>A</w:t>
      </w:r>
      <w:r>
        <w:t>ssessment was carried out as part of the</w:t>
      </w:r>
      <w:r w:rsidR="070E830E">
        <w:t xml:space="preserve"> development of the</w:t>
      </w:r>
      <w:r>
        <w:t xml:space="preserve"> Housing, Homelessness and Rough Sleeping strategy</w:t>
      </w:r>
      <w:r w:rsidR="6341A68A">
        <w:t xml:space="preserve">.  </w:t>
      </w:r>
      <w:r w:rsidR="52E9785A">
        <w:t xml:space="preserve">There are no adverse impacts in </w:t>
      </w:r>
      <w:r w:rsidR="0D6D4C44">
        <w:t>implementing the specific recommendations of this report</w:t>
      </w:r>
      <w:r w:rsidR="541E17E1">
        <w:t xml:space="preserve">, </w:t>
      </w:r>
      <w:r w:rsidR="610DA153">
        <w:t xml:space="preserve">with </w:t>
      </w:r>
      <w:r w:rsidR="541E17E1">
        <w:t xml:space="preserve">particular attention </w:t>
      </w:r>
      <w:r w:rsidR="39E5B025">
        <w:t xml:space="preserve">being paid </w:t>
      </w:r>
      <w:proofErr w:type="spellStart"/>
      <w:r w:rsidR="541E17E1">
        <w:t>paid</w:t>
      </w:r>
      <w:proofErr w:type="spellEnd"/>
      <w:r w:rsidR="541E17E1">
        <w:t xml:space="preserve"> to increasing both </w:t>
      </w:r>
      <w:r w:rsidR="1BE16557">
        <w:t>diversity and inclusive opportunity</w:t>
      </w:r>
      <w:r w:rsidR="2815F665">
        <w:t xml:space="preserve"> for our tenants</w:t>
      </w:r>
      <w:r w:rsidR="1BE16557">
        <w:t xml:space="preserve"> to engage. </w:t>
      </w:r>
    </w:p>
    <w:p w14:paraId="47D3F815" w14:textId="66900ACF" w:rsidR="002329CF" w:rsidRPr="001356F1" w:rsidRDefault="31D8A941" w:rsidP="147D9EAB">
      <w:pPr>
        <w:pStyle w:val="Numberedlist"/>
        <w:numPr>
          <w:ilvl w:val="0"/>
          <w:numId w:val="0"/>
        </w:numPr>
      </w:pPr>
      <w:r w:rsidRPr="147D9EAB">
        <w:rPr>
          <w:b/>
          <w:bCs/>
        </w:rPr>
        <w:t>Carbon and Environmental Considerations</w:t>
      </w:r>
    </w:p>
    <w:p w14:paraId="153FAB29" w14:textId="0E7BC298" w:rsidR="002329CF" w:rsidRPr="001356F1" w:rsidRDefault="31D8A941" w:rsidP="147D9EAB">
      <w:pPr>
        <w:pStyle w:val="Numberedlist"/>
      </w:pPr>
      <w:r>
        <w:t>There are no carbon or environmental considerations as part of this report.</w:t>
      </w:r>
    </w:p>
    <w:p w14:paraId="12C954A3" w14:textId="35D62C41" w:rsidR="002329CF" w:rsidRPr="001356F1" w:rsidRDefault="002329CF" w:rsidP="147D9EAB"/>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17F93628" w14:textId="77777777" w:rsidTr="0AA7CCB9">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50C0BB18" w14:textId="77777777" w:rsidR="00E87F7A" w:rsidRPr="001356F1" w:rsidRDefault="3BE93F2C" w:rsidP="0AA7CCB9">
            <w:pPr>
              <w:rPr>
                <w:b/>
                <w:bCs/>
                <w:sz w:val="22"/>
                <w:szCs w:val="22"/>
              </w:rPr>
            </w:pPr>
            <w:r w:rsidRPr="0AA7CCB9">
              <w:rPr>
                <w:b/>
                <w:bCs/>
                <w:sz w:val="22"/>
                <w:szCs w:val="22"/>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0CD6654F" w14:textId="36E40086" w:rsidR="00E87F7A" w:rsidRPr="001356F1" w:rsidRDefault="41118DD9" w:rsidP="0AA7CCB9">
            <w:pPr>
              <w:spacing w:line="259" w:lineRule="auto"/>
              <w:rPr>
                <w:rStyle w:val="normaltextrun"/>
                <w:rFonts w:cs="Arial"/>
                <w:sz w:val="22"/>
                <w:szCs w:val="22"/>
              </w:rPr>
            </w:pPr>
            <w:r w:rsidRPr="0AA7CCB9">
              <w:rPr>
                <w:rStyle w:val="normaltextrun"/>
                <w:rFonts w:cs="Arial"/>
                <w:sz w:val="22"/>
                <w:szCs w:val="22"/>
              </w:rPr>
              <w:t>Nerys Parry</w:t>
            </w:r>
          </w:p>
        </w:tc>
      </w:tr>
      <w:tr w:rsidR="00DF093E" w:rsidRPr="001356F1" w14:paraId="09648DE6" w14:textId="77777777" w:rsidTr="0AA7CCB9">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4E9F67AF" w14:textId="77777777" w:rsidR="00E87F7A" w:rsidRPr="001356F1" w:rsidRDefault="3BE93F2C" w:rsidP="0AA7CCB9">
            <w:pPr>
              <w:rPr>
                <w:sz w:val="22"/>
                <w:szCs w:val="22"/>
              </w:rPr>
            </w:pPr>
            <w:r w:rsidRPr="0AA7CCB9">
              <w:rPr>
                <w:sz w:val="22"/>
                <w:szCs w:val="22"/>
              </w:rPr>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54598588" w14:textId="21697689" w:rsidR="00E87F7A" w:rsidRPr="001356F1" w:rsidRDefault="42F1758A" w:rsidP="0AA7CCB9">
            <w:pPr>
              <w:spacing w:line="259" w:lineRule="auto"/>
              <w:rPr>
                <w:rStyle w:val="normaltextrun"/>
                <w:rFonts w:cs="Arial"/>
                <w:sz w:val="22"/>
                <w:szCs w:val="22"/>
              </w:rPr>
            </w:pPr>
            <w:r w:rsidRPr="0AA7CCB9">
              <w:rPr>
                <w:rStyle w:val="normaltextrun"/>
                <w:rFonts w:cs="Arial"/>
                <w:sz w:val="22"/>
                <w:szCs w:val="22"/>
              </w:rPr>
              <w:t>Head of Housing</w:t>
            </w:r>
          </w:p>
        </w:tc>
      </w:tr>
      <w:tr w:rsidR="00DF093E" w:rsidRPr="001356F1" w14:paraId="6731155D" w14:textId="77777777" w:rsidTr="0AA7CCB9">
        <w:trPr>
          <w:cantSplit/>
          <w:trHeight w:val="396"/>
        </w:trPr>
        <w:tc>
          <w:tcPr>
            <w:tcW w:w="3969" w:type="dxa"/>
            <w:tcBorders>
              <w:top w:val="nil"/>
              <w:left w:val="single" w:sz="8" w:space="0" w:color="000000" w:themeColor="text1"/>
              <w:bottom w:val="nil"/>
              <w:right w:val="nil"/>
            </w:tcBorders>
            <w:shd w:val="clear" w:color="auto" w:fill="auto"/>
          </w:tcPr>
          <w:p w14:paraId="71A45BB6" w14:textId="77777777" w:rsidR="00E87F7A" w:rsidRPr="001356F1" w:rsidRDefault="3BE93F2C" w:rsidP="0AA7CCB9">
            <w:pPr>
              <w:rPr>
                <w:sz w:val="22"/>
                <w:szCs w:val="22"/>
              </w:rPr>
            </w:pPr>
            <w:r w:rsidRPr="0AA7CCB9">
              <w:rPr>
                <w:sz w:val="22"/>
                <w:szCs w:val="22"/>
              </w:rPr>
              <w:t>Service area or department</w:t>
            </w:r>
          </w:p>
        </w:tc>
        <w:tc>
          <w:tcPr>
            <w:tcW w:w="4962" w:type="dxa"/>
            <w:tcBorders>
              <w:top w:val="nil"/>
              <w:left w:val="nil"/>
              <w:bottom w:val="nil"/>
              <w:right w:val="single" w:sz="8" w:space="0" w:color="000000" w:themeColor="text1"/>
            </w:tcBorders>
            <w:shd w:val="clear" w:color="auto" w:fill="auto"/>
          </w:tcPr>
          <w:p w14:paraId="495F46EF" w14:textId="2344FF6F" w:rsidR="00E87F7A" w:rsidRPr="001356F1" w:rsidRDefault="387D8EEC" w:rsidP="0AA7CCB9">
            <w:pPr>
              <w:rPr>
                <w:rStyle w:val="eop"/>
                <w:rFonts w:cs="Arial"/>
                <w:sz w:val="22"/>
                <w:szCs w:val="22"/>
              </w:rPr>
            </w:pPr>
            <w:r w:rsidRPr="0AA7CCB9">
              <w:rPr>
                <w:rStyle w:val="normaltextrun"/>
                <w:rFonts w:cs="Arial"/>
                <w:sz w:val="22"/>
                <w:szCs w:val="22"/>
                <w:shd w:val="clear" w:color="auto" w:fill="FFFFFF"/>
              </w:rPr>
              <w:t>Housing Services </w:t>
            </w:r>
            <w:r w:rsidRPr="0AA7CCB9">
              <w:rPr>
                <w:rStyle w:val="eop"/>
                <w:rFonts w:cs="Arial"/>
                <w:sz w:val="22"/>
                <w:szCs w:val="22"/>
                <w:shd w:val="clear" w:color="auto" w:fill="FFFFFF"/>
              </w:rPr>
              <w:t> </w:t>
            </w:r>
          </w:p>
        </w:tc>
      </w:tr>
      <w:tr w:rsidR="00DF093E" w:rsidRPr="001356F1" w14:paraId="7067BDFF" w14:textId="77777777" w:rsidTr="0AA7CCB9">
        <w:trPr>
          <w:cantSplit/>
          <w:trHeight w:val="396"/>
        </w:trPr>
        <w:tc>
          <w:tcPr>
            <w:tcW w:w="3969" w:type="dxa"/>
            <w:tcBorders>
              <w:top w:val="nil"/>
              <w:left w:val="single" w:sz="8" w:space="0" w:color="000000" w:themeColor="text1"/>
              <w:bottom w:val="nil"/>
              <w:right w:val="nil"/>
            </w:tcBorders>
            <w:shd w:val="clear" w:color="auto" w:fill="auto"/>
          </w:tcPr>
          <w:p w14:paraId="610D891E" w14:textId="77777777" w:rsidR="00E87F7A" w:rsidRPr="001356F1" w:rsidRDefault="3BE93F2C" w:rsidP="0AA7CCB9">
            <w:pPr>
              <w:rPr>
                <w:sz w:val="22"/>
                <w:szCs w:val="22"/>
              </w:rPr>
            </w:pPr>
            <w:r w:rsidRPr="0AA7CCB9">
              <w:rPr>
                <w:sz w:val="22"/>
                <w:szCs w:val="22"/>
              </w:rPr>
              <w:lastRenderedPageBreak/>
              <w:t xml:space="preserve">Telephone </w:t>
            </w:r>
          </w:p>
        </w:tc>
        <w:tc>
          <w:tcPr>
            <w:tcW w:w="4962" w:type="dxa"/>
            <w:tcBorders>
              <w:top w:val="nil"/>
              <w:left w:val="nil"/>
              <w:bottom w:val="nil"/>
              <w:right w:val="single" w:sz="8" w:space="0" w:color="000000" w:themeColor="text1"/>
            </w:tcBorders>
            <w:shd w:val="clear" w:color="auto" w:fill="auto"/>
          </w:tcPr>
          <w:p w14:paraId="5F523929" w14:textId="6B1D7403" w:rsidR="00E87F7A" w:rsidRPr="001356F1" w:rsidRDefault="14265692" w:rsidP="0AA7CCB9">
            <w:pPr>
              <w:rPr>
                <w:sz w:val="22"/>
                <w:szCs w:val="22"/>
              </w:rPr>
            </w:pPr>
            <w:r w:rsidRPr="0AA7CCB9">
              <w:rPr>
                <w:sz w:val="22"/>
                <w:szCs w:val="22"/>
              </w:rPr>
              <w:t xml:space="preserve">01865 </w:t>
            </w:r>
            <w:r w:rsidR="0E198F40" w:rsidRPr="0AA7CCB9">
              <w:rPr>
                <w:sz w:val="22"/>
                <w:szCs w:val="22"/>
              </w:rPr>
              <w:t>529181</w:t>
            </w:r>
          </w:p>
        </w:tc>
      </w:tr>
      <w:tr w:rsidR="005570B5" w:rsidRPr="001356F1" w14:paraId="446C69EC" w14:textId="77777777" w:rsidTr="0AA7CCB9">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56F0D340" w14:textId="347597E6" w:rsidR="00E87F7A" w:rsidRPr="001356F1" w:rsidRDefault="7FDC7EA9" w:rsidP="0AA7CCB9">
            <w:pPr>
              <w:rPr>
                <w:sz w:val="22"/>
                <w:szCs w:val="22"/>
              </w:rPr>
            </w:pPr>
            <w:r w:rsidRPr="0AA7CCB9">
              <w:rPr>
                <w:sz w:val="22"/>
                <w:szCs w:val="22"/>
              </w:rPr>
              <w:t>E</w:t>
            </w:r>
            <w:r w:rsidR="14265692" w:rsidRPr="0AA7CCB9">
              <w:rPr>
                <w:sz w:val="22"/>
                <w:szCs w:val="22"/>
              </w:rPr>
              <w:t xml:space="preserve">-mail </w:t>
            </w:r>
          </w:p>
        </w:tc>
        <w:tc>
          <w:tcPr>
            <w:tcW w:w="4962" w:type="dxa"/>
            <w:tcBorders>
              <w:top w:val="nil"/>
              <w:left w:val="nil"/>
              <w:bottom w:val="single" w:sz="8" w:space="0" w:color="000000" w:themeColor="text1"/>
              <w:right w:val="single" w:sz="8" w:space="0" w:color="000000" w:themeColor="text1"/>
            </w:tcBorders>
            <w:shd w:val="clear" w:color="auto" w:fill="auto"/>
          </w:tcPr>
          <w:p w14:paraId="6FE52294" w14:textId="379F5F54" w:rsidR="00E87F7A" w:rsidRPr="001356F1" w:rsidRDefault="4E8FC3DF" w:rsidP="0AA7CCB9">
            <w:pPr>
              <w:rPr>
                <w:rStyle w:val="normaltextrun"/>
                <w:rFonts w:cs="Arial"/>
                <w:sz w:val="22"/>
                <w:szCs w:val="22"/>
              </w:rPr>
            </w:pPr>
            <w:r w:rsidRPr="0AA7CCB9">
              <w:rPr>
                <w:rStyle w:val="normaltextrun"/>
                <w:rFonts w:cs="Arial"/>
                <w:sz w:val="22"/>
                <w:szCs w:val="22"/>
                <w:bdr w:val="none" w:sz="0" w:space="0" w:color="auto" w:frame="1"/>
              </w:rPr>
              <w:t>nparry</w:t>
            </w:r>
            <w:r w:rsidR="5D4839DC" w:rsidRPr="0AA7CCB9">
              <w:rPr>
                <w:rStyle w:val="normaltextrun"/>
                <w:rFonts w:cs="Arial"/>
                <w:sz w:val="22"/>
                <w:szCs w:val="22"/>
                <w:bdr w:val="none" w:sz="0" w:space="0" w:color="auto" w:frame="1"/>
              </w:rPr>
              <w:t>@oxford.gov.uk</w:t>
            </w:r>
          </w:p>
        </w:tc>
      </w:tr>
    </w:tbl>
    <w:p w14:paraId="0E285AC7" w14:textId="77777777" w:rsidR="00433B96" w:rsidRPr="001356F1" w:rsidRDefault="00433B96" w:rsidP="0AA7CCB9">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14:paraId="59F0D5EA" w14:textId="77777777" w:rsidTr="0AA7CCB9">
        <w:tc>
          <w:tcPr>
            <w:tcW w:w="8931" w:type="dxa"/>
            <w:tcBorders>
              <w:top w:val="single" w:sz="4" w:space="0" w:color="auto"/>
              <w:left w:val="single" w:sz="4" w:space="0" w:color="auto"/>
              <w:bottom w:val="single" w:sz="8" w:space="0" w:color="000000" w:themeColor="text1"/>
              <w:right w:val="single" w:sz="4" w:space="0" w:color="auto"/>
            </w:tcBorders>
            <w:shd w:val="clear" w:color="auto" w:fill="auto"/>
          </w:tcPr>
          <w:p w14:paraId="3D2F482E" w14:textId="77777777" w:rsidR="0093067A" w:rsidRPr="001356F1" w:rsidRDefault="4769B1BB" w:rsidP="0AA7CCB9">
            <w:pPr>
              <w:rPr>
                <w:rStyle w:val="Firstpagetablebold"/>
                <w:b w:val="0"/>
                <w:sz w:val="22"/>
                <w:szCs w:val="22"/>
              </w:rPr>
            </w:pPr>
            <w:r w:rsidRPr="0AA7CCB9">
              <w:rPr>
                <w:rStyle w:val="Firstpagetablebold"/>
                <w:sz w:val="22"/>
                <w:szCs w:val="22"/>
              </w:rPr>
              <w:t xml:space="preserve">Background Papers: </w:t>
            </w:r>
            <w:r w:rsidRPr="0AA7CCB9">
              <w:rPr>
                <w:rStyle w:val="Firstpagetablebold"/>
                <w:b w:val="0"/>
                <w:sz w:val="22"/>
                <w:szCs w:val="22"/>
              </w:rPr>
              <w:t>None</w:t>
            </w:r>
          </w:p>
        </w:tc>
      </w:tr>
    </w:tbl>
    <w:p w14:paraId="107C2625" w14:textId="77777777" w:rsidR="00CE4C87" w:rsidRDefault="00CE4C87" w:rsidP="0AA7CCB9">
      <w:pPr>
        <w:rPr>
          <w:sz w:val="22"/>
          <w:szCs w:val="22"/>
        </w:rPr>
      </w:pPr>
    </w:p>
    <w:sectPr w:rsidR="00CE4C87" w:rsidSect="002B6836">
      <w:headerReference w:type="default" r:id="rId15"/>
      <w:footerReference w:type="even" r:id="rId16"/>
      <w:footerReference w:type="default" r:id="rId17"/>
      <w:headerReference w:type="first" r:id="rId18"/>
      <w:footerReference w:type="first" r:id="rId19"/>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B892" w14:textId="77777777" w:rsidR="00CB0035" w:rsidRDefault="00CB0035" w:rsidP="004A6D2F">
      <w:r>
        <w:separator/>
      </w:r>
    </w:p>
  </w:endnote>
  <w:endnote w:type="continuationSeparator" w:id="0">
    <w:p w14:paraId="4E5C7C89" w14:textId="77777777" w:rsidR="00CB0035" w:rsidRDefault="00CB0035" w:rsidP="004A6D2F">
      <w:r>
        <w:continuationSeparator/>
      </w:r>
    </w:p>
  </w:endnote>
  <w:endnote w:type="continuationNotice" w:id="1">
    <w:p w14:paraId="3F68ED99" w14:textId="77777777" w:rsidR="00CB0035" w:rsidRDefault="00CB00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474F" w14:textId="77777777" w:rsidR="00364FAD" w:rsidRDefault="00364FAD" w:rsidP="004A6D2F">
    <w:pPr>
      <w:pStyle w:val="Footer"/>
    </w:pPr>
    <w:r>
      <w:t>Do not use a footer or page numbers.</w:t>
    </w:r>
  </w:p>
  <w:p w14:paraId="61C96C8D" w14:textId="77777777" w:rsidR="00364FAD" w:rsidRDefault="00364FAD" w:rsidP="004A6D2F">
    <w:pPr>
      <w:pStyle w:val="Footer"/>
    </w:pPr>
  </w:p>
  <w:p w14:paraId="075648AC"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0154741" w14:paraId="7212D4C0" w14:textId="77777777" w:rsidTr="10154741">
      <w:trPr>
        <w:trHeight w:val="300"/>
      </w:trPr>
      <w:tc>
        <w:tcPr>
          <w:tcW w:w="3095" w:type="dxa"/>
        </w:tcPr>
        <w:p w14:paraId="344D2769" w14:textId="3664AEE1" w:rsidR="10154741" w:rsidRDefault="10154741" w:rsidP="10154741">
          <w:pPr>
            <w:pStyle w:val="Header"/>
            <w:ind w:left="-115"/>
          </w:pPr>
        </w:p>
      </w:tc>
      <w:tc>
        <w:tcPr>
          <w:tcW w:w="3095" w:type="dxa"/>
        </w:tcPr>
        <w:p w14:paraId="206EBB23" w14:textId="0E786A53" w:rsidR="10154741" w:rsidRDefault="10154741" w:rsidP="10154741">
          <w:pPr>
            <w:pStyle w:val="Header"/>
            <w:jc w:val="center"/>
          </w:pPr>
        </w:p>
      </w:tc>
      <w:tc>
        <w:tcPr>
          <w:tcW w:w="3095" w:type="dxa"/>
        </w:tcPr>
        <w:p w14:paraId="5BD4D04B" w14:textId="5DE8DAED" w:rsidR="10154741" w:rsidRDefault="10154741" w:rsidP="10154741">
          <w:pPr>
            <w:pStyle w:val="Header"/>
            <w:ind w:right="-115"/>
            <w:jc w:val="right"/>
          </w:pPr>
        </w:p>
      </w:tc>
    </w:tr>
  </w:tbl>
  <w:p w14:paraId="21AA26F3" w14:textId="0CE1DB52" w:rsidR="10154741" w:rsidRDefault="101547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19FA" w14:textId="6BFF8AC5" w:rsidR="00A701B5" w:rsidRDefault="00A701B5"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9FAD" w14:textId="77777777" w:rsidR="00CB0035" w:rsidRDefault="00CB0035" w:rsidP="004A6D2F">
      <w:r>
        <w:separator/>
      </w:r>
    </w:p>
  </w:footnote>
  <w:footnote w:type="continuationSeparator" w:id="0">
    <w:p w14:paraId="63277617" w14:textId="77777777" w:rsidR="00CB0035" w:rsidRDefault="00CB0035" w:rsidP="004A6D2F">
      <w:r>
        <w:continuationSeparator/>
      </w:r>
    </w:p>
  </w:footnote>
  <w:footnote w:type="continuationNotice" w:id="1">
    <w:p w14:paraId="6497ACD9" w14:textId="77777777" w:rsidR="00CB0035" w:rsidRDefault="00CB00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0154741" w14:paraId="7443330E" w14:textId="77777777" w:rsidTr="10154741">
      <w:trPr>
        <w:trHeight w:val="300"/>
      </w:trPr>
      <w:tc>
        <w:tcPr>
          <w:tcW w:w="3095" w:type="dxa"/>
        </w:tcPr>
        <w:p w14:paraId="2CD5BA6D" w14:textId="10E3DE91" w:rsidR="10154741" w:rsidRDefault="10154741" w:rsidP="10154741">
          <w:pPr>
            <w:pStyle w:val="Header"/>
            <w:ind w:left="-115"/>
          </w:pPr>
        </w:p>
      </w:tc>
      <w:tc>
        <w:tcPr>
          <w:tcW w:w="3095" w:type="dxa"/>
        </w:tcPr>
        <w:p w14:paraId="2D837E0F" w14:textId="09A3723D" w:rsidR="10154741" w:rsidRDefault="10154741" w:rsidP="10154741">
          <w:pPr>
            <w:pStyle w:val="Header"/>
            <w:jc w:val="center"/>
          </w:pPr>
        </w:p>
      </w:tc>
      <w:tc>
        <w:tcPr>
          <w:tcW w:w="3095" w:type="dxa"/>
        </w:tcPr>
        <w:p w14:paraId="26747B51" w14:textId="58BFE8F2" w:rsidR="10154741" w:rsidRDefault="10154741" w:rsidP="10154741">
          <w:pPr>
            <w:pStyle w:val="Header"/>
            <w:ind w:right="-115"/>
            <w:jc w:val="right"/>
          </w:pPr>
        </w:p>
      </w:tc>
    </w:tr>
  </w:tbl>
  <w:p w14:paraId="68A2720F" w14:textId="600C367F" w:rsidR="10154741" w:rsidRDefault="10154741" w:rsidP="10154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CCBE" w14:textId="77777777" w:rsidR="00D5547E" w:rsidRDefault="00C05260" w:rsidP="00D5547E">
    <w:pPr>
      <w:pStyle w:val="Header"/>
      <w:jc w:val="right"/>
    </w:pPr>
    <w:r>
      <w:rPr>
        <w:noProof/>
      </w:rPr>
      <w:drawing>
        <wp:inline distT="0" distB="0" distL="0" distR="0" wp14:anchorId="422E3820" wp14:editId="022BEDE2">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464"/>
    <w:multiLevelType w:val="hybridMultilevel"/>
    <w:tmpl w:val="D7B4C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hint="default"/>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BB00B1"/>
    <w:multiLevelType w:val="hybridMultilevel"/>
    <w:tmpl w:val="34EE1B1C"/>
    <w:lvl w:ilvl="0" w:tplc="6EE268F6">
      <w:start w:val="1"/>
      <w:numFmt w:val="upperLetter"/>
      <w:lvlText w:val="%1)"/>
      <w:lvlJc w:val="left"/>
      <w:pPr>
        <w:ind w:left="927" w:hanging="360"/>
      </w:pPr>
      <w:rPr>
        <w:rFonts w:eastAsia="Times New Roman" w:cs="Times New Roman"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4982584"/>
    <w:multiLevelType w:val="multilevel"/>
    <w:tmpl w:val="49FA906E"/>
    <w:lvl w:ilvl="0">
      <w:start w:val="1"/>
      <w:numFmt w:val="bullet"/>
      <w:lvlText w:val=""/>
      <w:lvlJc w:val="left"/>
      <w:pPr>
        <w:ind w:left="720" w:hanging="360"/>
      </w:pPr>
      <w:rPr>
        <w:rFonts w:ascii="Symbol" w:hAnsi="Symbol"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FC1286"/>
    <w:multiLevelType w:val="hybridMultilevel"/>
    <w:tmpl w:val="EB023958"/>
    <w:lvl w:ilvl="0" w:tplc="4A54DAC8">
      <w:start w:val="1"/>
      <w:numFmt w:val="upperLetter"/>
      <w:lvlText w:val="%1)"/>
      <w:lvlJc w:val="left"/>
      <w:pPr>
        <w:ind w:left="720" w:hanging="360"/>
      </w:pPr>
    </w:lvl>
    <w:lvl w:ilvl="1" w:tplc="D97A9DE2">
      <w:start w:val="1"/>
      <w:numFmt w:val="lowerLetter"/>
      <w:lvlText w:val="%2."/>
      <w:lvlJc w:val="left"/>
      <w:pPr>
        <w:ind w:left="1440" w:hanging="360"/>
      </w:pPr>
    </w:lvl>
    <w:lvl w:ilvl="2" w:tplc="723CE9C2">
      <w:start w:val="1"/>
      <w:numFmt w:val="lowerRoman"/>
      <w:lvlText w:val="%3."/>
      <w:lvlJc w:val="right"/>
      <w:pPr>
        <w:ind w:left="2160" w:hanging="180"/>
      </w:pPr>
    </w:lvl>
    <w:lvl w:ilvl="3" w:tplc="5AC476A4">
      <w:start w:val="1"/>
      <w:numFmt w:val="decimal"/>
      <w:lvlText w:val="%4."/>
      <w:lvlJc w:val="left"/>
      <w:pPr>
        <w:ind w:left="2880" w:hanging="360"/>
      </w:pPr>
    </w:lvl>
    <w:lvl w:ilvl="4" w:tplc="F7482F98">
      <w:start w:val="1"/>
      <w:numFmt w:val="lowerLetter"/>
      <w:lvlText w:val="%5."/>
      <w:lvlJc w:val="left"/>
      <w:pPr>
        <w:ind w:left="3600" w:hanging="360"/>
      </w:pPr>
    </w:lvl>
    <w:lvl w:ilvl="5" w:tplc="598CA626">
      <w:start w:val="1"/>
      <w:numFmt w:val="lowerRoman"/>
      <w:lvlText w:val="%6."/>
      <w:lvlJc w:val="right"/>
      <w:pPr>
        <w:ind w:left="4320" w:hanging="180"/>
      </w:pPr>
    </w:lvl>
    <w:lvl w:ilvl="6" w:tplc="79C4F2AC">
      <w:start w:val="1"/>
      <w:numFmt w:val="decimal"/>
      <w:lvlText w:val="%7."/>
      <w:lvlJc w:val="left"/>
      <w:pPr>
        <w:ind w:left="5040" w:hanging="360"/>
      </w:pPr>
    </w:lvl>
    <w:lvl w:ilvl="7" w:tplc="6E58B168">
      <w:start w:val="1"/>
      <w:numFmt w:val="lowerLetter"/>
      <w:lvlText w:val="%8."/>
      <w:lvlJc w:val="left"/>
      <w:pPr>
        <w:ind w:left="5760" w:hanging="360"/>
      </w:pPr>
    </w:lvl>
    <w:lvl w:ilvl="8" w:tplc="7E5C14CA">
      <w:start w:val="1"/>
      <w:numFmt w:val="lowerRoman"/>
      <w:lvlText w:val="%9."/>
      <w:lvlJc w:val="right"/>
      <w:pPr>
        <w:ind w:left="6480" w:hanging="180"/>
      </w:pPr>
    </w:lvl>
  </w:abstractNum>
  <w:abstractNum w:abstractNumId="7" w15:restartNumberingAfterBreak="0">
    <w:nsid w:val="6A9F2B3C"/>
    <w:multiLevelType w:val="multilevel"/>
    <w:tmpl w:val="4C5820D8"/>
    <w:lvl w:ilvl="0">
      <w:start w:val="1"/>
      <w:numFmt w:val="decimal"/>
      <w:pStyle w:val="Numberedlist"/>
      <w:lvlText w:val="%1."/>
      <w:lvlJc w:val="left"/>
      <w:pPr>
        <w:ind w:left="720" w:hanging="360"/>
      </w:pPr>
      <w:rPr>
        <w:rFonts w:ascii="Arial" w:hAnsi="Arial"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8365C6"/>
    <w:multiLevelType w:val="multilevel"/>
    <w:tmpl w:val="E67CE66C"/>
    <w:numStyleLink w:val="StyleNumberedLeft0cmHanging075cm"/>
  </w:abstractNum>
  <w:abstractNum w:abstractNumId="9" w15:restartNumberingAfterBreak="0">
    <w:nsid w:val="7A794081"/>
    <w:multiLevelType w:val="multilevel"/>
    <w:tmpl w:val="E6C6D374"/>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103DD3"/>
    <w:multiLevelType w:val="hybridMultilevel"/>
    <w:tmpl w:val="336868D0"/>
    <w:lvl w:ilvl="0" w:tplc="84DEA3DC">
      <w:start w:val="1"/>
      <w:numFmt w:val="upperLetter"/>
      <w:lvlText w:val="%1)"/>
      <w:lvlJc w:val="left"/>
      <w:pPr>
        <w:ind w:left="720" w:hanging="360"/>
      </w:pPr>
    </w:lvl>
    <w:lvl w:ilvl="1" w:tplc="A0623C46">
      <w:start w:val="1"/>
      <w:numFmt w:val="lowerLetter"/>
      <w:lvlText w:val="%2."/>
      <w:lvlJc w:val="left"/>
      <w:pPr>
        <w:ind w:left="1440" w:hanging="360"/>
      </w:pPr>
    </w:lvl>
    <w:lvl w:ilvl="2" w:tplc="B13A7A90">
      <w:start w:val="1"/>
      <w:numFmt w:val="lowerRoman"/>
      <w:lvlText w:val="%3."/>
      <w:lvlJc w:val="right"/>
      <w:pPr>
        <w:ind w:left="2160" w:hanging="180"/>
      </w:pPr>
    </w:lvl>
    <w:lvl w:ilvl="3" w:tplc="70A84CAA">
      <w:start w:val="1"/>
      <w:numFmt w:val="decimal"/>
      <w:lvlText w:val="%4."/>
      <w:lvlJc w:val="left"/>
      <w:pPr>
        <w:ind w:left="2880" w:hanging="360"/>
      </w:pPr>
    </w:lvl>
    <w:lvl w:ilvl="4" w:tplc="882A3820">
      <w:start w:val="1"/>
      <w:numFmt w:val="lowerLetter"/>
      <w:lvlText w:val="%5."/>
      <w:lvlJc w:val="left"/>
      <w:pPr>
        <w:ind w:left="3600" w:hanging="360"/>
      </w:pPr>
    </w:lvl>
    <w:lvl w:ilvl="5" w:tplc="80B4FC4C">
      <w:start w:val="1"/>
      <w:numFmt w:val="lowerRoman"/>
      <w:lvlText w:val="%6."/>
      <w:lvlJc w:val="right"/>
      <w:pPr>
        <w:ind w:left="4320" w:hanging="180"/>
      </w:pPr>
    </w:lvl>
    <w:lvl w:ilvl="6" w:tplc="87180CA0">
      <w:start w:val="1"/>
      <w:numFmt w:val="decimal"/>
      <w:lvlText w:val="%7."/>
      <w:lvlJc w:val="left"/>
      <w:pPr>
        <w:ind w:left="5040" w:hanging="360"/>
      </w:pPr>
    </w:lvl>
    <w:lvl w:ilvl="7" w:tplc="912016AE">
      <w:start w:val="1"/>
      <w:numFmt w:val="lowerLetter"/>
      <w:lvlText w:val="%8."/>
      <w:lvlJc w:val="left"/>
      <w:pPr>
        <w:ind w:left="5760" w:hanging="360"/>
      </w:pPr>
    </w:lvl>
    <w:lvl w:ilvl="8" w:tplc="7D082362">
      <w:start w:val="1"/>
      <w:numFmt w:val="lowerRoman"/>
      <w:lvlText w:val="%9."/>
      <w:lvlJc w:val="right"/>
      <w:pPr>
        <w:ind w:left="6480" w:hanging="180"/>
      </w:pPr>
    </w:lvl>
  </w:abstractNum>
  <w:num w:numId="1" w16cid:durableId="362245067">
    <w:abstractNumId w:val="9"/>
  </w:num>
  <w:num w:numId="2" w16cid:durableId="764611714">
    <w:abstractNumId w:val="6"/>
  </w:num>
  <w:num w:numId="3" w16cid:durableId="996491806">
    <w:abstractNumId w:val="10"/>
  </w:num>
  <w:num w:numId="4" w16cid:durableId="1091197296">
    <w:abstractNumId w:val="1"/>
  </w:num>
  <w:num w:numId="5" w16cid:durableId="1345085187">
    <w:abstractNumId w:val="8"/>
  </w:num>
  <w:num w:numId="6" w16cid:durableId="388236836">
    <w:abstractNumId w:val="3"/>
  </w:num>
  <w:num w:numId="7" w16cid:durableId="127207984">
    <w:abstractNumId w:val="2"/>
  </w:num>
  <w:num w:numId="8" w16cid:durableId="11566371">
    <w:abstractNumId w:val="7"/>
  </w:num>
  <w:num w:numId="9" w16cid:durableId="462819847">
    <w:abstractNumId w:val="4"/>
  </w:num>
  <w:num w:numId="10" w16cid:durableId="1961911029">
    <w:abstractNumId w:val="5"/>
  </w:num>
  <w:num w:numId="11" w16cid:durableId="2889024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1201D"/>
    <w:rsid w:val="000314D7"/>
    <w:rsid w:val="00034054"/>
    <w:rsid w:val="00045F8B"/>
    <w:rsid w:val="00046D2B"/>
    <w:rsid w:val="00056263"/>
    <w:rsid w:val="00064D8A"/>
    <w:rsid w:val="00064F82"/>
    <w:rsid w:val="00066510"/>
    <w:rsid w:val="00072487"/>
    <w:rsid w:val="00077523"/>
    <w:rsid w:val="00085297"/>
    <w:rsid w:val="000B1DFC"/>
    <w:rsid w:val="000C089F"/>
    <w:rsid w:val="000C3928"/>
    <w:rsid w:val="000C5E8E"/>
    <w:rsid w:val="000E4052"/>
    <w:rsid w:val="000F4751"/>
    <w:rsid w:val="001046F9"/>
    <w:rsid w:val="0010524C"/>
    <w:rsid w:val="00106B55"/>
    <w:rsid w:val="00111FB1"/>
    <w:rsid w:val="00113418"/>
    <w:rsid w:val="00124751"/>
    <w:rsid w:val="00132609"/>
    <w:rsid w:val="001356F1"/>
    <w:rsid w:val="00136994"/>
    <w:rsid w:val="0014128E"/>
    <w:rsid w:val="00145395"/>
    <w:rsid w:val="00151888"/>
    <w:rsid w:val="00170A2D"/>
    <w:rsid w:val="001808BC"/>
    <w:rsid w:val="00182B81"/>
    <w:rsid w:val="0018619D"/>
    <w:rsid w:val="001A011E"/>
    <w:rsid w:val="001A066A"/>
    <w:rsid w:val="001A13E6"/>
    <w:rsid w:val="001A5731"/>
    <w:rsid w:val="001B42C3"/>
    <w:rsid w:val="001C249D"/>
    <w:rsid w:val="001C5D5E"/>
    <w:rsid w:val="001D678D"/>
    <w:rsid w:val="001E03F8"/>
    <w:rsid w:val="001E06E3"/>
    <w:rsid w:val="001E1678"/>
    <w:rsid w:val="001E3376"/>
    <w:rsid w:val="002069B3"/>
    <w:rsid w:val="00210A8F"/>
    <w:rsid w:val="00212C6C"/>
    <w:rsid w:val="002319EF"/>
    <w:rsid w:val="002329CF"/>
    <w:rsid w:val="00232F5B"/>
    <w:rsid w:val="00247C29"/>
    <w:rsid w:val="00260467"/>
    <w:rsid w:val="00260B9E"/>
    <w:rsid w:val="00263EA3"/>
    <w:rsid w:val="00276EAB"/>
    <w:rsid w:val="00284F85"/>
    <w:rsid w:val="002870C3"/>
    <w:rsid w:val="00290915"/>
    <w:rsid w:val="00290A81"/>
    <w:rsid w:val="00291E16"/>
    <w:rsid w:val="002A22E2"/>
    <w:rsid w:val="002B166B"/>
    <w:rsid w:val="002B6836"/>
    <w:rsid w:val="002C64F7"/>
    <w:rsid w:val="002D72EC"/>
    <w:rsid w:val="002E48C3"/>
    <w:rsid w:val="002F41F2"/>
    <w:rsid w:val="00301BF3"/>
    <w:rsid w:val="0030208D"/>
    <w:rsid w:val="003208AC"/>
    <w:rsid w:val="00323418"/>
    <w:rsid w:val="003357BF"/>
    <w:rsid w:val="00335D0B"/>
    <w:rsid w:val="00364FAD"/>
    <w:rsid w:val="0036738F"/>
    <w:rsid w:val="0036759C"/>
    <w:rsid w:val="00367AE5"/>
    <w:rsid w:val="00367D71"/>
    <w:rsid w:val="0038150A"/>
    <w:rsid w:val="0039F7AB"/>
    <w:rsid w:val="003B4F32"/>
    <w:rsid w:val="003B654B"/>
    <w:rsid w:val="003B6E75"/>
    <w:rsid w:val="003B7DA1"/>
    <w:rsid w:val="003D0379"/>
    <w:rsid w:val="003D2574"/>
    <w:rsid w:val="003D4C59"/>
    <w:rsid w:val="003F4267"/>
    <w:rsid w:val="00404032"/>
    <w:rsid w:val="0040736F"/>
    <w:rsid w:val="00412C1F"/>
    <w:rsid w:val="00421CB2"/>
    <w:rsid w:val="004268B9"/>
    <w:rsid w:val="0043069A"/>
    <w:rsid w:val="00433B96"/>
    <w:rsid w:val="004440F1"/>
    <w:rsid w:val="004456DD"/>
    <w:rsid w:val="00446CDF"/>
    <w:rsid w:val="004470F7"/>
    <w:rsid w:val="00451DC1"/>
    <w:rsid w:val="004521B7"/>
    <w:rsid w:val="004548E0"/>
    <w:rsid w:val="00462AB5"/>
    <w:rsid w:val="004635DF"/>
    <w:rsid w:val="00465EAF"/>
    <w:rsid w:val="004738C5"/>
    <w:rsid w:val="0047737B"/>
    <w:rsid w:val="00480155"/>
    <w:rsid w:val="00491046"/>
    <w:rsid w:val="00496078"/>
    <w:rsid w:val="004963AC"/>
    <w:rsid w:val="00497F5A"/>
    <w:rsid w:val="004A2AC7"/>
    <w:rsid w:val="004A6D2F"/>
    <w:rsid w:val="004B11AE"/>
    <w:rsid w:val="004B7F53"/>
    <w:rsid w:val="004C0606"/>
    <w:rsid w:val="004C2887"/>
    <w:rsid w:val="004D2626"/>
    <w:rsid w:val="004D464E"/>
    <w:rsid w:val="004D6E26"/>
    <w:rsid w:val="004D715B"/>
    <w:rsid w:val="004D77D3"/>
    <w:rsid w:val="004E2959"/>
    <w:rsid w:val="004E778B"/>
    <w:rsid w:val="004F20D4"/>
    <w:rsid w:val="004F20EF"/>
    <w:rsid w:val="0050321C"/>
    <w:rsid w:val="00507ECC"/>
    <w:rsid w:val="005142EA"/>
    <w:rsid w:val="00532060"/>
    <w:rsid w:val="005325FF"/>
    <w:rsid w:val="005433BD"/>
    <w:rsid w:val="00546600"/>
    <w:rsid w:val="0054712D"/>
    <w:rsid w:val="00547EF6"/>
    <w:rsid w:val="005521AB"/>
    <w:rsid w:val="005570B5"/>
    <w:rsid w:val="00567519"/>
    <w:rsid w:val="00567E18"/>
    <w:rsid w:val="00575F5F"/>
    <w:rsid w:val="00581805"/>
    <w:rsid w:val="00585985"/>
    <w:rsid w:val="00585F76"/>
    <w:rsid w:val="0059310E"/>
    <w:rsid w:val="005A34E4"/>
    <w:rsid w:val="005A6610"/>
    <w:rsid w:val="005B17F2"/>
    <w:rsid w:val="005B7FB0"/>
    <w:rsid w:val="005C35A5"/>
    <w:rsid w:val="005C577C"/>
    <w:rsid w:val="005D0621"/>
    <w:rsid w:val="005D1D0C"/>
    <w:rsid w:val="005D1E27"/>
    <w:rsid w:val="005D2A3E"/>
    <w:rsid w:val="005D591B"/>
    <w:rsid w:val="005DE90F"/>
    <w:rsid w:val="005E022E"/>
    <w:rsid w:val="005E5215"/>
    <w:rsid w:val="005F33B7"/>
    <w:rsid w:val="005F41D7"/>
    <w:rsid w:val="005F7DC9"/>
    <w:rsid w:val="005F7F7E"/>
    <w:rsid w:val="00602011"/>
    <w:rsid w:val="0061084E"/>
    <w:rsid w:val="00614693"/>
    <w:rsid w:val="00623C2F"/>
    <w:rsid w:val="00633578"/>
    <w:rsid w:val="00637068"/>
    <w:rsid w:val="0063762E"/>
    <w:rsid w:val="0064334C"/>
    <w:rsid w:val="00650811"/>
    <w:rsid w:val="00661D3E"/>
    <w:rsid w:val="00666EDF"/>
    <w:rsid w:val="00690963"/>
    <w:rsid w:val="00692627"/>
    <w:rsid w:val="00693D7B"/>
    <w:rsid w:val="006969E7"/>
    <w:rsid w:val="006975A0"/>
    <w:rsid w:val="006A2511"/>
    <w:rsid w:val="006A3643"/>
    <w:rsid w:val="006B10C2"/>
    <w:rsid w:val="006C2A29"/>
    <w:rsid w:val="006C64CF"/>
    <w:rsid w:val="006D17B1"/>
    <w:rsid w:val="006D4752"/>
    <w:rsid w:val="006D708A"/>
    <w:rsid w:val="006E14C1"/>
    <w:rsid w:val="006F0292"/>
    <w:rsid w:val="006F27FA"/>
    <w:rsid w:val="006F416B"/>
    <w:rsid w:val="006F519B"/>
    <w:rsid w:val="007028A2"/>
    <w:rsid w:val="00713675"/>
    <w:rsid w:val="00715823"/>
    <w:rsid w:val="0072172A"/>
    <w:rsid w:val="00723077"/>
    <w:rsid w:val="007253EF"/>
    <w:rsid w:val="00737B93"/>
    <w:rsid w:val="00744DA1"/>
    <w:rsid w:val="00745BF0"/>
    <w:rsid w:val="00747BF4"/>
    <w:rsid w:val="00751EA3"/>
    <w:rsid w:val="00753EF7"/>
    <w:rsid w:val="007615FE"/>
    <w:rsid w:val="007622AD"/>
    <w:rsid w:val="0076655C"/>
    <w:rsid w:val="007742DC"/>
    <w:rsid w:val="00780E53"/>
    <w:rsid w:val="00791437"/>
    <w:rsid w:val="007B0C2C"/>
    <w:rsid w:val="007B278E"/>
    <w:rsid w:val="007B5CA2"/>
    <w:rsid w:val="007C5C23"/>
    <w:rsid w:val="007D2342"/>
    <w:rsid w:val="007E2A26"/>
    <w:rsid w:val="007F2348"/>
    <w:rsid w:val="007F4757"/>
    <w:rsid w:val="007F6EEF"/>
    <w:rsid w:val="00803F07"/>
    <w:rsid w:val="0080749A"/>
    <w:rsid w:val="008114FD"/>
    <w:rsid w:val="00821FB8"/>
    <w:rsid w:val="00822ACD"/>
    <w:rsid w:val="00841C35"/>
    <w:rsid w:val="00852EB5"/>
    <w:rsid w:val="00855C66"/>
    <w:rsid w:val="0086309E"/>
    <w:rsid w:val="0086FF77"/>
    <w:rsid w:val="00871EE4"/>
    <w:rsid w:val="00873248"/>
    <w:rsid w:val="00877130"/>
    <w:rsid w:val="008954DF"/>
    <w:rsid w:val="008B293F"/>
    <w:rsid w:val="008B7371"/>
    <w:rsid w:val="008C5635"/>
    <w:rsid w:val="008D3DDB"/>
    <w:rsid w:val="008E639D"/>
    <w:rsid w:val="008F1FAC"/>
    <w:rsid w:val="008F3B04"/>
    <w:rsid w:val="008F573F"/>
    <w:rsid w:val="009034EC"/>
    <w:rsid w:val="00926215"/>
    <w:rsid w:val="0093067A"/>
    <w:rsid w:val="009346A0"/>
    <w:rsid w:val="00940CF1"/>
    <w:rsid w:val="00941C60"/>
    <w:rsid w:val="00941FD1"/>
    <w:rsid w:val="0094447D"/>
    <w:rsid w:val="00950824"/>
    <w:rsid w:val="00953469"/>
    <w:rsid w:val="00953700"/>
    <w:rsid w:val="00966D42"/>
    <w:rsid w:val="00971689"/>
    <w:rsid w:val="0097170F"/>
    <w:rsid w:val="00973E90"/>
    <w:rsid w:val="00975B07"/>
    <w:rsid w:val="00980B4A"/>
    <w:rsid w:val="009B3E8A"/>
    <w:rsid w:val="009E3D0A"/>
    <w:rsid w:val="009E51FC"/>
    <w:rsid w:val="009E556D"/>
    <w:rsid w:val="009F1D28"/>
    <w:rsid w:val="009F7618"/>
    <w:rsid w:val="00A04D23"/>
    <w:rsid w:val="00A06766"/>
    <w:rsid w:val="00A13765"/>
    <w:rsid w:val="00A21B12"/>
    <w:rsid w:val="00A23F80"/>
    <w:rsid w:val="00A46E98"/>
    <w:rsid w:val="00A6352B"/>
    <w:rsid w:val="00A65020"/>
    <w:rsid w:val="00A701B5"/>
    <w:rsid w:val="00A714BB"/>
    <w:rsid w:val="00A71FBA"/>
    <w:rsid w:val="00A77147"/>
    <w:rsid w:val="00A87F69"/>
    <w:rsid w:val="00A92D8F"/>
    <w:rsid w:val="00AA7A0A"/>
    <w:rsid w:val="00AB2988"/>
    <w:rsid w:val="00AB2FD5"/>
    <w:rsid w:val="00AB7999"/>
    <w:rsid w:val="00AC2B92"/>
    <w:rsid w:val="00AD3292"/>
    <w:rsid w:val="00AD3567"/>
    <w:rsid w:val="00AD5A83"/>
    <w:rsid w:val="00AE1684"/>
    <w:rsid w:val="00AE57F5"/>
    <w:rsid w:val="00AE769D"/>
    <w:rsid w:val="00AE7AF0"/>
    <w:rsid w:val="00B310FB"/>
    <w:rsid w:val="00B3159A"/>
    <w:rsid w:val="00B352AE"/>
    <w:rsid w:val="00B500CA"/>
    <w:rsid w:val="00B81785"/>
    <w:rsid w:val="00B81B25"/>
    <w:rsid w:val="00B86314"/>
    <w:rsid w:val="00BA1C2E"/>
    <w:rsid w:val="00BA21F8"/>
    <w:rsid w:val="00BC200B"/>
    <w:rsid w:val="00BC4756"/>
    <w:rsid w:val="00BC69A4"/>
    <w:rsid w:val="00BC7785"/>
    <w:rsid w:val="00BD27A6"/>
    <w:rsid w:val="00BD2A81"/>
    <w:rsid w:val="00BE0680"/>
    <w:rsid w:val="00BE305F"/>
    <w:rsid w:val="00BE7BA3"/>
    <w:rsid w:val="00BF4340"/>
    <w:rsid w:val="00BF5682"/>
    <w:rsid w:val="00BF7B09"/>
    <w:rsid w:val="00C05260"/>
    <w:rsid w:val="00C076B9"/>
    <w:rsid w:val="00C20A95"/>
    <w:rsid w:val="00C24686"/>
    <w:rsid w:val="00C2692F"/>
    <w:rsid w:val="00C3207C"/>
    <w:rsid w:val="00C400E1"/>
    <w:rsid w:val="00C41187"/>
    <w:rsid w:val="00C55252"/>
    <w:rsid w:val="00C63C31"/>
    <w:rsid w:val="00C757A0"/>
    <w:rsid w:val="00C760DE"/>
    <w:rsid w:val="00C80117"/>
    <w:rsid w:val="00C82630"/>
    <w:rsid w:val="00C85B4E"/>
    <w:rsid w:val="00C907F7"/>
    <w:rsid w:val="00CA2103"/>
    <w:rsid w:val="00CB0035"/>
    <w:rsid w:val="00CB21E8"/>
    <w:rsid w:val="00CB6B99"/>
    <w:rsid w:val="00CE4C87"/>
    <w:rsid w:val="00CE544A"/>
    <w:rsid w:val="00CE5979"/>
    <w:rsid w:val="00CE7A39"/>
    <w:rsid w:val="00D11E1C"/>
    <w:rsid w:val="00D160B0"/>
    <w:rsid w:val="00D16ABA"/>
    <w:rsid w:val="00D17F94"/>
    <w:rsid w:val="00D2211B"/>
    <w:rsid w:val="00D223FC"/>
    <w:rsid w:val="00D2460E"/>
    <w:rsid w:val="00D26D1E"/>
    <w:rsid w:val="00D4198E"/>
    <w:rsid w:val="00D474CF"/>
    <w:rsid w:val="00D50E39"/>
    <w:rsid w:val="00D5547E"/>
    <w:rsid w:val="00D55E1F"/>
    <w:rsid w:val="00D60277"/>
    <w:rsid w:val="00D73C78"/>
    <w:rsid w:val="00D860E2"/>
    <w:rsid w:val="00D869A1"/>
    <w:rsid w:val="00D96E2C"/>
    <w:rsid w:val="00DA413F"/>
    <w:rsid w:val="00DA4584"/>
    <w:rsid w:val="00DA614B"/>
    <w:rsid w:val="00DB6FEA"/>
    <w:rsid w:val="00DB7AD7"/>
    <w:rsid w:val="00DC3060"/>
    <w:rsid w:val="00DD396D"/>
    <w:rsid w:val="00DE0FB2"/>
    <w:rsid w:val="00DE648F"/>
    <w:rsid w:val="00DF093E"/>
    <w:rsid w:val="00DF4193"/>
    <w:rsid w:val="00E01F42"/>
    <w:rsid w:val="00E206D6"/>
    <w:rsid w:val="00E24DF7"/>
    <w:rsid w:val="00E3366E"/>
    <w:rsid w:val="00E46507"/>
    <w:rsid w:val="00E52086"/>
    <w:rsid w:val="00E543A6"/>
    <w:rsid w:val="00E60479"/>
    <w:rsid w:val="00E61D73"/>
    <w:rsid w:val="00E6229B"/>
    <w:rsid w:val="00E73684"/>
    <w:rsid w:val="00E818D6"/>
    <w:rsid w:val="00E87F7A"/>
    <w:rsid w:val="00E94B3E"/>
    <w:rsid w:val="00E95B0D"/>
    <w:rsid w:val="00E96BD7"/>
    <w:rsid w:val="00EA0DB1"/>
    <w:rsid w:val="00EA0EE9"/>
    <w:rsid w:val="00EB3D06"/>
    <w:rsid w:val="00EC3D47"/>
    <w:rsid w:val="00EC5D1B"/>
    <w:rsid w:val="00ED52CA"/>
    <w:rsid w:val="00ED5860"/>
    <w:rsid w:val="00EE35C9"/>
    <w:rsid w:val="00F05ECA"/>
    <w:rsid w:val="00F12724"/>
    <w:rsid w:val="00F26E21"/>
    <w:rsid w:val="00F30811"/>
    <w:rsid w:val="00F3566E"/>
    <w:rsid w:val="00F375FB"/>
    <w:rsid w:val="00F41AC1"/>
    <w:rsid w:val="00F4367A"/>
    <w:rsid w:val="00F445B1"/>
    <w:rsid w:val="00F45CD4"/>
    <w:rsid w:val="00F61B82"/>
    <w:rsid w:val="00F66DCA"/>
    <w:rsid w:val="00F74F53"/>
    <w:rsid w:val="00F7606D"/>
    <w:rsid w:val="00F81670"/>
    <w:rsid w:val="00F819FC"/>
    <w:rsid w:val="00F82024"/>
    <w:rsid w:val="00F865A3"/>
    <w:rsid w:val="00F95BC9"/>
    <w:rsid w:val="00FA4791"/>
    <w:rsid w:val="00FA624C"/>
    <w:rsid w:val="00FA7139"/>
    <w:rsid w:val="00FB3B71"/>
    <w:rsid w:val="00FC65BC"/>
    <w:rsid w:val="00FD0FAC"/>
    <w:rsid w:val="00FD1DFA"/>
    <w:rsid w:val="00FD4966"/>
    <w:rsid w:val="00FE504D"/>
    <w:rsid w:val="00FE57DC"/>
    <w:rsid w:val="00FF095A"/>
    <w:rsid w:val="010B7985"/>
    <w:rsid w:val="0144A20E"/>
    <w:rsid w:val="01518C9F"/>
    <w:rsid w:val="01602E1E"/>
    <w:rsid w:val="01BD5954"/>
    <w:rsid w:val="01CFEB3D"/>
    <w:rsid w:val="01D32A28"/>
    <w:rsid w:val="01D3FDBF"/>
    <w:rsid w:val="01DDC7E7"/>
    <w:rsid w:val="01DF518A"/>
    <w:rsid w:val="01ECC8B0"/>
    <w:rsid w:val="01FD66B2"/>
    <w:rsid w:val="02526B03"/>
    <w:rsid w:val="026C8499"/>
    <w:rsid w:val="027F2286"/>
    <w:rsid w:val="0285811E"/>
    <w:rsid w:val="02B06829"/>
    <w:rsid w:val="0302D51C"/>
    <w:rsid w:val="030DC745"/>
    <w:rsid w:val="034578F7"/>
    <w:rsid w:val="0367E02A"/>
    <w:rsid w:val="03732E10"/>
    <w:rsid w:val="03B9C16C"/>
    <w:rsid w:val="03BBD613"/>
    <w:rsid w:val="03DDE1B9"/>
    <w:rsid w:val="0418C610"/>
    <w:rsid w:val="0459483A"/>
    <w:rsid w:val="04800319"/>
    <w:rsid w:val="0491149C"/>
    <w:rsid w:val="04D698CB"/>
    <w:rsid w:val="04DE59D1"/>
    <w:rsid w:val="04EFCE75"/>
    <w:rsid w:val="053F6626"/>
    <w:rsid w:val="059EF65C"/>
    <w:rsid w:val="05F6F3D0"/>
    <w:rsid w:val="060B0D4D"/>
    <w:rsid w:val="063E7DD8"/>
    <w:rsid w:val="064AF816"/>
    <w:rsid w:val="069A7F65"/>
    <w:rsid w:val="06B3E495"/>
    <w:rsid w:val="070E830E"/>
    <w:rsid w:val="0716CCFB"/>
    <w:rsid w:val="072D9098"/>
    <w:rsid w:val="078FB860"/>
    <w:rsid w:val="07934F58"/>
    <w:rsid w:val="07A6F107"/>
    <w:rsid w:val="07C38A5E"/>
    <w:rsid w:val="07D7E413"/>
    <w:rsid w:val="07F86DA2"/>
    <w:rsid w:val="07FC4178"/>
    <w:rsid w:val="07FEF47E"/>
    <w:rsid w:val="08137AC6"/>
    <w:rsid w:val="082DE580"/>
    <w:rsid w:val="085BCF56"/>
    <w:rsid w:val="08924D55"/>
    <w:rsid w:val="094DD937"/>
    <w:rsid w:val="09B2EB2E"/>
    <w:rsid w:val="09CDBBA0"/>
    <w:rsid w:val="09D0A1D3"/>
    <w:rsid w:val="09F8AC4C"/>
    <w:rsid w:val="0A2C43CE"/>
    <w:rsid w:val="0A3E44C6"/>
    <w:rsid w:val="0A4D6667"/>
    <w:rsid w:val="0A566CFF"/>
    <w:rsid w:val="0A6B7FDB"/>
    <w:rsid w:val="0A71D39A"/>
    <w:rsid w:val="0A73BD56"/>
    <w:rsid w:val="0A74D55C"/>
    <w:rsid w:val="0A8318BE"/>
    <w:rsid w:val="0A8479E9"/>
    <w:rsid w:val="0A8BE2C4"/>
    <w:rsid w:val="0AA7CCB9"/>
    <w:rsid w:val="0AF51733"/>
    <w:rsid w:val="0B07462E"/>
    <w:rsid w:val="0B205B94"/>
    <w:rsid w:val="0B3765D5"/>
    <w:rsid w:val="0B3CF6CA"/>
    <w:rsid w:val="0B4A05B7"/>
    <w:rsid w:val="0B852E8C"/>
    <w:rsid w:val="0BC002A7"/>
    <w:rsid w:val="0BC9F3FA"/>
    <w:rsid w:val="0BE680EA"/>
    <w:rsid w:val="0BFD0AC2"/>
    <w:rsid w:val="0C0EC080"/>
    <w:rsid w:val="0C189666"/>
    <w:rsid w:val="0C782C8D"/>
    <w:rsid w:val="0C7C8D6E"/>
    <w:rsid w:val="0C86F367"/>
    <w:rsid w:val="0CC4535E"/>
    <w:rsid w:val="0CE2A763"/>
    <w:rsid w:val="0CF34045"/>
    <w:rsid w:val="0D454CB1"/>
    <w:rsid w:val="0D60ED77"/>
    <w:rsid w:val="0D63F24B"/>
    <w:rsid w:val="0D6D4C44"/>
    <w:rsid w:val="0D6E0399"/>
    <w:rsid w:val="0D87859C"/>
    <w:rsid w:val="0DA66C05"/>
    <w:rsid w:val="0DF6392A"/>
    <w:rsid w:val="0DF8369E"/>
    <w:rsid w:val="0DFA76F9"/>
    <w:rsid w:val="0E1563F6"/>
    <w:rsid w:val="0E198F40"/>
    <w:rsid w:val="0E296CB4"/>
    <w:rsid w:val="0E4566ED"/>
    <w:rsid w:val="0E4F8D4C"/>
    <w:rsid w:val="0E88742C"/>
    <w:rsid w:val="0E988538"/>
    <w:rsid w:val="0E9EA27A"/>
    <w:rsid w:val="0EA629C1"/>
    <w:rsid w:val="0EA67C62"/>
    <w:rsid w:val="0ECDA700"/>
    <w:rsid w:val="0ED87427"/>
    <w:rsid w:val="0EEE0467"/>
    <w:rsid w:val="0EF52E53"/>
    <w:rsid w:val="0F0413AF"/>
    <w:rsid w:val="0F3364C2"/>
    <w:rsid w:val="0F474093"/>
    <w:rsid w:val="0F5D5D94"/>
    <w:rsid w:val="0F6866F1"/>
    <w:rsid w:val="0F880E80"/>
    <w:rsid w:val="0F9290CB"/>
    <w:rsid w:val="0FC2D3C5"/>
    <w:rsid w:val="0FC6EAAE"/>
    <w:rsid w:val="0FCFDF40"/>
    <w:rsid w:val="10127297"/>
    <w:rsid w:val="10154741"/>
    <w:rsid w:val="102BC6C2"/>
    <w:rsid w:val="1078B229"/>
    <w:rsid w:val="1078CAE2"/>
    <w:rsid w:val="108766A1"/>
    <w:rsid w:val="10C194D0"/>
    <w:rsid w:val="10CD2E47"/>
    <w:rsid w:val="11141434"/>
    <w:rsid w:val="11263CC6"/>
    <w:rsid w:val="114E516A"/>
    <w:rsid w:val="115C4502"/>
    <w:rsid w:val="1192DAFB"/>
    <w:rsid w:val="119A0504"/>
    <w:rsid w:val="11A12F5B"/>
    <w:rsid w:val="11A5385A"/>
    <w:rsid w:val="11DF7F83"/>
    <w:rsid w:val="12045D88"/>
    <w:rsid w:val="12091642"/>
    <w:rsid w:val="120F3913"/>
    <w:rsid w:val="123F2C13"/>
    <w:rsid w:val="1258FCD2"/>
    <w:rsid w:val="12A13251"/>
    <w:rsid w:val="12B6D27E"/>
    <w:rsid w:val="12DD7068"/>
    <w:rsid w:val="12E4C335"/>
    <w:rsid w:val="12EF121F"/>
    <w:rsid w:val="13231F90"/>
    <w:rsid w:val="135EB9FA"/>
    <w:rsid w:val="135EF25A"/>
    <w:rsid w:val="137E2E50"/>
    <w:rsid w:val="137F3605"/>
    <w:rsid w:val="13858456"/>
    <w:rsid w:val="13AF08C9"/>
    <w:rsid w:val="13C4EE6C"/>
    <w:rsid w:val="13C67C40"/>
    <w:rsid w:val="140967FF"/>
    <w:rsid w:val="141F8BB8"/>
    <w:rsid w:val="1425CD69"/>
    <w:rsid w:val="14265692"/>
    <w:rsid w:val="14446559"/>
    <w:rsid w:val="1457E239"/>
    <w:rsid w:val="146E72F0"/>
    <w:rsid w:val="147D9EAB"/>
    <w:rsid w:val="14897EE2"/>
    <w:rsid w:val="150E564E"/>
    <w:rsid w:val="1574EF6E"/>
    <w:rsid w:val="15A5717B"/>
    <w:rsid w:val="15B2E412"/>
    <w:rsid w:val="15D2B47F"/>
    <w:rsid w:val="15DBE223"/>
    <w:rsid w:val="15E3AAD5"/>
    <w:rsid w:val="15EBFA01"/>
    <w:rsid w:val="162C0995"/>
    <w:rsid w:val="1631DEF5"/>
    <w:rsid w:val="163483B3"/>
    <w:rsid w:val="1646FB54"/>
    <w:rsid w:val="1647DC19"/>
    <w:rsid w:val="16A641E5"/>
    <w:rsid w:val="16B04581"/>
    <w:rsid w:val="16C80626"/>
    <w:rsid w:val="16EDE20A"/>
    <w:rsid w:val="170D005C"/>
    <w:rsid w:val="17153613"/>
    <w:rsid w:val="172A66B8"/>
    <w:rsid w:val="1744FC01"/>
    <w:rsid w:val="175947BA"/>
    <w:rsid w:val="1780F5F1"/>
    <w:rsid w:val="178F78B0"/>
    <w:rsid w:val="1830A347"/>
    <w:rsid w:val="18AC571E"/>
    <w:rsid w:val="18BBCD8A"/>
    <w:rsid w:val="18D720C2"/>
    <w:rsid w:val="19027635"/>
    <w:rsid w:val="19480E99"/>
    <w:rsid w:val="19C5F56D"/>
    <w:rsid w:val="1A1CA223"/>
    <w:rsid w:val="1A291CC2"/>
    <w:rsid w:val="1A2C43C4"/>
    <w:rsid w:val="1A5BC646"/>
    <w:rsid w:val="1A60A21B"/>
    <w:rsid w:val="1AB4A188"/>
    <w:rsid w:val="1AC67981"/>
    <w:rsid w:val="1AF4703B"/>
    <w:rsid w:val="1B147049"/>
    <w:rsid w:val="1B68DE3A"/>
    <w:rsid w:val="1B7A853B"/>
    <w:rsid w:val="1B8F2D7F"/>
    <w:rsid w:val="1B91EA02"/>
    <w:rsid w:val="1BCAF6C2"/>
    <w:rsid w:val="1BE16557"/>
    <w:rsid w:val="1BE82DA4"/>
    <w:rsid w:val="1C01A276"/>
    <w:rsid w:val="1C10E364"/>
    <w:rsid w:val="1CA06A02"/>
    <w:rsid w:val="1CA42929"/>
    <w:rsid w:val="1CAB95E0"/>
    <w:rsid w:val="1CDD2AD3"/>
    <w:rsid w:val="1D28C63C"/>
    <w:rsid w:val="1D36B63B"/>
    <w:rsid w:val="1D3CD19F"/>
    <w:rsid w:val="1D925077"/>
    <w:rsid w:val="1DB6FF07"/>
    <w:rsid w:val="1DC32D9A"/>
    <w:rsid w:val="1DE1F6D5"/>
    <w:rsid w:val="1DF5B018"/>
    <w:rsid w:val="1E080A4C"/>
    <w:rsid w:val="1E281D2E"/>
    <w:rsid w:val="1E5ADB60"/>
    <w:rsid w:val="1E63A148"/>
    <w:rsid w:val="1E948A71"/>
    <w:rsid w:val="1E9A9A3B"/>
    <w:rsid w:val="1EB2BBB0"/>
    <w:rsid w:val="1EBDEF10"/>
    <w:rsid w:val="1ECEF2A1"/>
    <w:rsid w:val="1EE7BE18"/>
    <w:rsid w:val="1FB2FBE4"/>
    <w:rsid w:val="2004F764"/>
    <w:rsid w:val="206A27BB"/>
    <w:rsid w:val="20E22473"/>
    <w:rsid w:val="20E58D54"/>
    <w:rsid w:val="20EA4893"/>
    <w:rsid w:val="212E1E2F"/>
    <w:rsid w:val="2186DBAE"/>
    <w:rsid w:val="21A7DF90"/>
    <w:rsid w:val="21B6AD20"/>
    <w:rsid w:val="21E84026"/>
    <w:rsid w:val="21FC2AA7"/>
    <w:rsid w:val="22003EDA"/>
    <w:rsid w:val="220C0157"/>
    <w:rsid w:val="223AE228"/>
    <w:rsid w:val="2247C985"/>
    <w:rsid w:val="224FE276"/>
    <w:rsid w:val="22677AFF"/>
    <w:rsid w:val="226A3375"/>
    <w:rsid w:val="226D5E06"/>
    <w:rsid w:val="226F62C3"/>
    <w:rsid w:val="228328FB"/>
    <w:rsid w:val="2284FF49"/>
    <w:rsid w:val="22A9071E"/>
    <w:rsid w:val="22B8461B"/>
    <w:rsid w:val="22CAF076"/>
    <w:rsid w:val="22D8B995"/>
    <w:rsid w:val="22F05840"/>
    <w:rsid w:val="2310977B"/>
    <w:rsid w:val="231CD0E5"/>
    <w:rsid w:val="232FF65A"/>
    <w:rsid w:val="23415495"/>
    <w:rsid w:val="236250A6"/>
    <w:rsid w:val="237CDA8E"/>
    <w:rsid w:val="239B75C3"/>
    <w:rsid w:val="23BA54AB"/>
    <w:rsid w:val="23C7B330"/>
    <w:rsid w:val="24047E4B"/>
    <w:rsid w:val="2407AB12"/>
    <w:rsid w:val="243E0C4A"/>
    <w:rsid w:val="246945F9"/>
    <w:rsid w:val="2481F9E0"/>
    <w:rsid w:val="2493251C"/>
    <w:rsid w:val="24CFE2F2"/>
    <w:rsid w:val="24D057F5"/>
    <w:rsid w:val="24D33E8C"/>
    <w:rsid w:val="24E01599"/>
    <w:rsid w:val="2524D89E"/>
    <w:rsid w:val="2534F280"/>
    <w:rsid w:val="2536A47D"/>
    <w:rsid w:val="254144E0"/>
    <w:rsid w:val="25530C4F"/>
    <w:rsid w:val="258A3B03"/>
    <w:rsid w:val="259D93EA"/>
    <w:rsid w:val="25CF7BE2"/>
    <w:rsid w:val="260B44D1"/>
    <w:rsid w:val="260BEBE3"/>
    <w:rsid w:val="2626BE59"/>
    <w:rsid w:val="264C2E6D"/>
    <w:rsid w:val="2663DB8F"/>
    <w:rsid w:val="26D46DDB"/>
    <w:rsid w:val="272977EB"/>
    <w:rsid w:val="2735E7DD"/>
    <w:rsid w:val="2738D60F"/>
    <w:rsid w:val="27938163"/>
    <w:rsid w:val="279B008A"/>
    <w:rsid w:val="27B5A0E3"/>
    <w:rsid w:val="27DADE2F"/>
    <w:rsid w:val="27E9C6BA"/>
    <w:rsid w:val="27F3ED27"/>
    <w:rsid w:val="27FEC2A6"/>
    <w:rsid w:val="27FFF1DC"/>
    <w:rsid w:val="2807D7DF"/>
    <w:rsid w:val="28130A61"/>
    <w:rsid w:val="2815F665"/>
    <w:rsid w:val="282AB9DE"/>
    <w:rsid w:val="285D13C2"/>
    <w:rsid w:val="28C5FE0D"/>
    <w:rsid w:val="28CE08D3"/>
    <w:rsid w:val="28DC5AA1"/>
    <w:rsid w:val="28E9BC6C"/>
    <w:rsid w:val="28FD8A35"/>
    <w:rsid w:val="290D834D"/>
    <w:rsid w:val="293BCE1D"/>
    <w:rsid w:val="2956D382"/>
    <w:rsid w:val="296F65BD"/>
    <w:rsid w:val="298AA326"/>
    <w:rsid w:val="298DB61A"/>
    <w:rsid w:val="29A20848"/>
    <w:rsid w:val="29F2943A"/>
    <w:rsid w:val="29F5CC9B"/>
    <w:rsid w:val="2A1BE5A6"/>
    <w:rsid w:val="2A2B8C09"/>
    <w:rsid w:val="2A39065A"/>
    <w:rsid w:val="2A46A0D7"/>
    <w:rsid w:val="2A4BFDE2"/>
    <w:rsid w:val="2A548513"/>
    <w:rsid w:val="2A7BB754"/>
    <w:rsid w:val="2A7FD9A4"/>
    <w:rsid w:val="2A8ACC81"/>
    <w:rsid w:val="2A9CEFE5"/>
    <w:rsid w:val="2AB50EB2"/>
    <w:rsid w:val="2AC2B1F2"/>
    <w:rsid w:val="2ACD8B25"/>
    <w:rsid w:val="2ADBD0CE"/>
    <w:rsid w:val="2AEF3D76"/>
    <w:rsid w:val="2AF618B9"/>
    <w:rsid w:val="2AFF3DBB"/>
    <w:rsid w:val="2B106691"/>
    <w:rsid w:val="2B30D5B2"/>
    <w:rsid w:val="2B363BB7"/>
    <w:rsid w:val="2B500966"/>
    <w:rsid w:val="2BB6DBE3"/>
    <w:rsid w:val="2BB8E23D"/>
    <w:rsid w:val="2C192DB2"/>
    <w:rsid w:val="2C459020"/>
    <w:rsid w:val="2C51C670"/>
    <w:rsid w:val="2C66BE2C"/>
    <w:rsid w:val="2C7A349E"/>
    <w:rsid w:val="2C9BD855"/>
    <w:rsid w:val="2CC74D57"/>
    <w:rsid w:val="2CCF0912"/>
    <w:rsid w:val="2CF99826"/>
    <w:rsid w:val="2D328E11"/>
    <w:rsid w:val="2D47EE68"/>
    <w:rsid w:val="2D990C21"/>
    <w:rsid w:val="2D9F8275"/>
    <w:rsid w:val="2DA98064"/>
    <w:rsid w:val="2DAC58EA"/>
    <w:rsid w:val="2DCE5871"/>
    <w:rsid w:val="2DE21B07"/>
    <w:rsid w:val="2DE243AD"/>
    <w:rsid w:val="2E00DB06"/>
    <w:rsid w:val="2E04A48E"/>
    <w:rsid w:val="2E327616"/>
    <w:rsid w:val="2E77C853"/>
    <w:rsid w:val="2E7BAC02"/>
    <w:rsid w:val="2EFB51B8"/>
    <w:rsid w:val="2F2FAE55"/>
    <w:rsid w:val="2F6472B7"/>
    <w:rsid w:val="2F73EEFD"/>
    <w:rsid w:val="2F94CBAB"/>
    <w:rsid w:val="2FF364AA"/>
    <w:rsid w:val="2FFED5A1"/>
    <w:rsid w:val="30104DB2"/>
    <w:rsid w:val="3018A39B"/>
    <w:rsid w:val="30299C29"/>
    <w:rsid w:val="302D4510"/>
    <w:rsid w:val="302F8EB5"/>
    <w:rsid w:val="30595DF3"/>
    <w:rsid w:val="30818ED8"/>
    <w:rsid w:val="309CDF83"/>
    <w:rsid w:val="30C507F6"/>
    <w:rsid w:val="30DFEC28"/>
    <w:rsid w:val="30F19CF2"/>
    <w:rsid w:val="316916CB"/>
    <w:rsid w:val="31807473"/>
    <w:rsid w:val="31C1DA5F"/>
    <w:rsid w:val="31CAA4D6"/>
    <w:rsid w:val="31D8A941"/>
    <w:rsid w:val="31E524BF"/>
    <w:rsid w:val="322CAC84"/>
    <w:rsid w:val="32561613"/>
    <w:rsid w:val="326B24A2"/>
    <w:rsid w:val="326B69F5"/>
    <w:rsid w:val="326EFDD8"/>
    <w:rsid w:val="328B549E"/>
    <w:rsid w:val="32A8457C"/>
    <w:rsid w:val="32BADFA1"/>
    <w:rsid w:val="32C5B132"/>
    <w:rsid w:val="32CFC9DE"/>
    <w:rsid w:val="32D33754"/>
    <w:rsid w:val="32FF02C4"/>
    <w:rsid w:val="330C798A"/>
    <w:rsid w:val="3320385D"/>
    <w:rsid w:val="33271F45"/>
    <w:rsid w:val="333F6CDB"/>
    <w:rsid w:val="3356FD41"/>
    <w:rsid w:val="33BE5A04"/>
    <w:rsid w:val="33C2FC0E"/>
    <w:rsid w:val="33F0F969"/>
    <w:rsid w:val="343BAC0A"/>
    <w:rsid w:val="3441DA8C"/>
    <w:rsid w:val="345331B3"/>
    <w:rsid w:val="346CB2F0"/>
    <w:rsid w:val="348111DC"/>
    <w:rsid w:val="348373F0"/>
    <w:rsid w:val="3489292F"/>
    <w:rsid w:val="348BC027"/>
    <w:rsid w:val="3492085F"/>
    <w:rsid w:val="34AA2DB7"/>
    <w:rsid w:val="34CD805B"/>
    <w:rsid w:val="34F1A67F"/>
    <w:rsid w:val="350696E6"/>
    <w:rsid w:val="35291326"/>
    <w:rsid w:val="352DF088"/>
    <w:rsid w:val="356214BC"/>
    <w:rsid w:val="35D0917B"/>
    <w:rsid w:val="35F4175B"/>
    <w:rsid w:val="35F422F1"/>
    <w:rsid w:val="360DED94"/>
    <w:rsid w:val="360FF1B8"/>
    <w:rsid w:val="3649B1E0"/>
    <w:rsid w:val="3672CF6A"/>
    <w:rsid w:val="3689D0A2"/>
    <w:rsid w:val="36C710DB"/>
    <w:rsid w:val="3717E72C"/>
    <w:rsid w:val="3718DFC7"/>
    <w:rsid w:val="37252A22"/>
    <w:rsid w:val="372B7B1A"/>
    <w:rsid w:val="373C16BA"/>
    <w:rsid w:val="3754DCDC"/>
    <w:rsid w:val="375BA897"/>
    <w:rsid w:val="37B59B3C"/>
    <w:rsid w:val="37E5D4B7"/>
    <w:rsid w:val="37E8997F"/>
    <w:rsid w:val="38010746"/>
    <w:rsid w:val="381929D4"/>
    <w:rsid w:val="38194294"/>
    <w:rsid w:val="3831EB37"/>
    <w:rsid w:val="383DD55E"/>
    <w:rsid w:val="3846412A"/>
    <w:rsid w:val="3858E3F7"/>
    <w:rsid w:val="387D8EEC"/>
    <w:rsid w:val="38AFAA8A"/>
    <w:rsid w:val="38D54452"/>
    <w:rsid w:val="38DACE1E"/>
    <w:rsid w:val="38F19F12"/>
    <w:rsid w:val="391016DE"/>
    <w:rsid w:val="3929F064"/>
    <w:rsid w:val="3936CF75"/>
    <w:rsid w:val="393981AD"/>
    <w:rsid w:val="3949D5CA"/>
    <w:rsid w:val="394A7220"/>
    <w:rsid w:val="39560150"/>
    <w:rsid w:val="3987BC9A"/>
    <w:rsid w:val="399936DE"/>
    <w:rsid w:val="39A7A4C1"/>
    <w:rsid w:val="39B1F5BB"/>
    <w:rsid w:val="39B67743"/>
    <w:rsid w:val="39BD74E0"/>
    <w:rsid w:val="39E5B025"/>
    <w:rsid w:val="3A32D4BE"/>
    <w:rsid w:val="3A3F0703"/>
    <w:rsid w:val="3A588749"/>
    <w:rsid w:val="3A61C908"/>
    <w:rsid w:val="3A9E7402"/>
    <w:rsid w:val="3AB9DC45"/>
    <w:rsid w:val="3ABD03B3"/>
    <w:rsid w:val="3ADAA66C"/>
    <w:rsid w:val="3B0097B3"/>
    <w:rsid w:val="3B06271C"/>
    <w:rsid w:val="3B215C47"/>
    <w:rsid w:val="3B420D95"/>
    <w:rsid w:val="3B574FD7"/>
    <w:rsid w:val="3B745643"/>
    <w:rsid w:val="3B9816A3"/>
    <w:rsid w:val="3BAD3FE5"/>
    <w:rsid w:val="3BD686A8"/>
    <w:rsid w:val="3BE013FB"/>
    <w:rsid w:val="3BE93F2C"/>
    <w:rsid w:val="3C216EFF"/>
    <w:rsid w:val="3C3419C3"/>
    <w:rsid w:val="3C5B9CBA"/>
    <w:rsid w:val="3C651802"/>
    <w:rsid w:val="3CCEC4A5"/>
    <w:rsid w:val="3CD8F123"/>
    <w:rsid w:val="3CE27D18"/>
    <w:rsid w:val="3CE83976"/>
    <w:rsid w:val="3D03DCE0"/>
    <w:rsid w:val="3D15CB67"/>
    <w:rsid w:val="3D715D16"/>
    <w:rsid w:val="3D72543C"/>
    <w:rsid w:val="3D842A60"/>
    <w:rsid w:val="3DB3555B"/>
    <w:rsid w:val="3E14415B"/>
    <w:rsid w:val="3E2114DD"/>
    <w:rsid w:val="3E3BC942"/>
    <w:rsid w:val="3E534EAA"/>
    <w:rsid w:val="3E5BA08D"/>
    <w:rsid w:val="3E5D8B6F"/>
    <w:rsid w:val="3E62F00E"/>
    <w:rsid w:val="3E6B7F5E"/>
    <w:rsid w:val="3EB51C76"/>
    <w:rsid w:val="3EBE4894"/>
    <w:rsid w:val="3ECE6258"/>
    <w:rsid w:val="3ED0DBB8"/>
    <w:rsid w:val="3F04D450"/>
    <w:rsid w:val="3F143F30"/>
    <w:rsid w:val="3F1B8631"/>
    <w:rsid w:val="3F22ACF8"/>
    <w:rsid w:val="3F3BC407"/>
    <w:rsid w:val="3F3EAF8E"/>
    <w:rsid w:val="3F50150B"/>
    <w:rsid w:val="3F623F22"/>
    <w:rsid w:val="3F690AB5"/>
    <w:rsid w:val="3F6CD5A0"/>
    <w:rsid w:val="3F868B50"/>
    <w:rsid w:val="3FB0987F"/>
    <w:rsid w:val="3FBB57F5"/>
    <w:rsid w:val="3FD56085"/>
    <w:rsid w:val="3FDE1918"/>
    <w:rsid w:val="40374FB4"/>
    <w:rsid w:val="4056417F"/>
    <w:rsid w:val="407FC995"/>
    <w:rsid w:val="40981775"/>
    <w:rsid w:val="40A7C646"/>
    <w:rsid w:val="40B88749"/>
    <w:rsid w:val="40B9BA2B"/>
    <w:rsid w:val="40E22313"/>
    <w:rsid w:val="40F8E952"/>
    <w:rsid w:val="40FE4F18"/>
    <w:rsid w:val="41118DD9"/>
    <w:rsid w:val="412927FF"/>
    <w:rsid w:val="41450B3C"/>
    <w:rsid w:val="415A2680"/>
    <w:rsid w:val="41A18DA3"/>
    <w:rsid w:val="41BCEED2"/>
    <w:rsid w:val="41F61002"/>
    <w:rsid w:val="4202DE5B"/>
    <w:rsid w:val="421D6DA2"/>
    <w:rsid w:val="42501128"/>
    <w:rsid w:val="42596CC7"/>
    <w:rsid w:val="429394EF"/>
    <w:rsid w:val="42EEF579"/>
    <w:rsid w:val="42F1758A"/>
    <w:rsid w:val="434C0A36"/>
    <w:rsid w:val="4357001E"/>
    <w:rsid w:val="439916CE"/>
    <w:rsid w:val="43A1B5AB"/>
    <w:rsid w:val="43CCCB9E"/>
    <w:rsid w:val="43EACEC2"/>
    <w:rsid w:val="43FA5B18"/>
    <w:rsid w:val="4435C79D"/>
    <w:rsid w:val="443E26D6"/>
    <w:rsid w:val="445C6A47"/>
    <w:rsid w:val="44779270"/>
    <w:rsid w:val="447D204B"/>
    <w:rsid w:val="4488723C"/>
    <w:rsid w:val="449035AF"/>
    <w:rsid w:val="44965ED8"/>
    <w:rsid w:val="4497450F"/>
    <w:rsid w:val="449E68B3"/>
    <w:rsid w:val="44F44762"/>
    <w:rsid w:val="45375DDD"/>
    <w:rsid w:val="453FE486"/>
    <w:rsid w:val="454242BF"/>
    <w:rsid w:val="455D2702"/>
    <w:rsid w:val="4561D9BD"/>
    <w:rsid w:val="456F8C15"/>
    <w:rsid w:val="4589C3DB"/>
    <w:rsid w:val="4596313D"/>
    <w:rsid w:val="45C34896"/>
    <w:rsid w:val="45D99C25"/>
    <w:rsid w:val="45EB0787"/>
    <w:rsid w:val="460301D5"/>
    <w:rsid w:val="460D937D"/>
    <w:rsid w:val="46167793"/>
    <w:rsid w:val="463E0EEF"/>
    <w:rsid w:val="46563A14"/>
    <w:rsid w:val="46C5C942"/>
    <w:rsid w:val="46DCADAA"/>
    <w:rsid w:val="46DE2027"/>
    <w:rsid w:val="46DE3798"/>
    <w:rsid w:val="46E8F8FF"/>
    <w:rsid w:val="46F19056"/>
    <w:rsid w:val="47170F22"/>
    <w:rsid w:val="473913B0"/>
    <w:rsid w:val="476715F1"/>
    <w:rsid w:val="4769B1BB"/>
    <w:rsid w:val="478AFFF1"/>
    <w:rsid w:val="4795CDFB"/>
    <w:rsid w:val="47BD6D12"/>
    <w:rsid w:val="47D0E268"/>
    <w:rsid w:val="47E3AAAB"/>
    <w:rsid w:val="47EC79CD"/>
    <w:rsid w:val="47FE3BF0"/>
    <w:rsid w:val="48187587"/>
    <w:rsid w:val="48671D89"/>
    <w:rsid w:val="488DDB8C"/>
    <w:rsid w:val="48C09A68"/>
    <w:rsid w:val="48CFCA29"/>
    <w:rsid w:val="48D73705"/>
    <w:rsid w:val="48EFF8D3"/>
    <w:rsid w:val="48F2FF99"/>
    <w:rsid w:val="49A91309"/>
    <w:rsid w:val="49C5E2EE"/>
    <w:rsid w:val="49C9143C"/>
    <w:rsid w:val="4A445D23"/>
    <w:rsid w:val="4A56DE16"/>
    <w:rsid w:val="4A6BBB71"/>
    <w:rsid w:val="4A8A08C2"/>
    <w:rsid w:val="4A92B97E"/>
    <w:rsid w:val="4A962BB0"/>
    <w:rsid w:val="4AA2C73B"/>
    <w:rsid w:val="4AD71C82"/>
    <w:rsid w:val="4ADC23CC"/>
    <w:rsid w:val="4AE2B00B"/>
    <w:rsid w:val="4AF21681"/>
    <w:rsid w:val="4AF6ABA2"/>
    <w:rsid w:val="4AFEC0E6"/>
    <w:rsid w:val="4B00CC5F"/>
    <w:rsid w:val="4B063507"/>
    <w:rsid w:val="4B11775F"/>
    <w:rsid w:val="4B169418"/>
    <w:rsid w:val="4B195718"/>
    <w:rsid w:val="4B284782"/>
    <w:rsid w:val="4B628736"/>
    <w:rsid w:val="4B81CF9D"/>
    <w:rsid w:val="4BB1A413"/>
    <w:rsid w:val="4BB7A98D"/>
    <w:rsid w:val="4BE9AA6B"/>
    <w:rsid w:val="4BFAAD0B"/>
    <w:rsid w:val="4BFB8904"/>
    <w:rsid w:val="4BFF9623"/>
    <w:rsid w:val="4C3B8D85"/>
    <w:rsid w:val="4C45230B"/>
    <w:rsid w:val="4C51A2C0"/>
    <w:rsid w:val="4C53372C"/>
    <w:rsid w:val="4C5A0686"/>
    <w:rsid w:val="4C5F8BBF"/>
    <w:rsid w:val="4C769A2F"/>
    <w:rsid w:val="4C773616"/>
    <w:rsid w:val="4C810386"/>
    <w:rsid w:val="4C98C9D6"/>
    <w:rsid w:val="4CAB80DA"/>
    <w:rsid w:val="4CC232AA"/>
    <w:rsid w:val="4CC72230"/>
    <w:rsid w:val="4CEDFF8E"/>
    <w:rsid w:val="4D103BAC"/>
    <w:rsid w:val="4D3730D4"/>
    <w:rsid w:val="4D4E8EE6"/>
    <w:rsid w:val="4D625527"/>
    <w:rsid w:val="4D93F585"/>
    <w:rsid w:val="4DAFD6E1"/>
    <w:rsid w:val="4DDACF9A"/>
    <w:rsid w:val="4E0FE76E"/>
    <w:rsid w:val="4E2829C7"/>
    <w:rsid w:val="4E4668C6"/>
    <w:rsid w:val="4E522325"/>
    <w:rsid w:val="4E53FED6"/>
    <w:rsid w:val="4E8C4739"/>
    <w:rsid w:val="4E8FC3DF"/>
    <w:rsid w:val="4EAA27C0"/>
    <w:rsid w:val="4EAE2A23"/>
    <w:rsid w:val="4EB87597"/>
    <w:rsid w:val="4EBA535A"/>
    <w:rsid w:val="4ECF9FCD"/>
    <w:rsid w:val="4EE71944"/>
    <w:rsid w:val="4F15D7C5"/>
    <w:rsid w:val="4FC9AD68"/>
    <w:rsid w:val="4FDF1338"/>
    <w:rsid w:val="5011147F"/>
    <w:rsid w:val="5024FE34"/>
    <w:rsid w:val="503714EF"/>
    <w:rsid w:val="50772840"/>
    <w:rsid w:val="508FC0F2"/>
    <w:rsid w:val="50B4562A"/>
    <w:rsid w:val="50B49DD8"/>
    <w:rsid w:val="50B8460B"/>
    <w:rsid w:val="50BC592A"/>
    <w:rsid w:val="50EA258A"/>
    <w:rsid w:val="510915D0"/>
    <w:rsid w:val="510CFD26"/>
    <w:rsid w:val="51186514"/>
    <w:rsid w:val="512FE7C4"/>
    <w:rsid w:val="513AA191"/>
    <w:rsid w:val="51401624"/>
    <w:rsid w:val="5148F8BD"/>
    <w:rsid w:val="516BA8EB"/>
    <w:rsid w:val="51A68332"/>
    <w:rsid w:val="51B74811"/>
    <w:rsid w:val="51B8E6BC"/>
    <w:rsid w:val="51BD9C56"/>
    <w:rsid w:val="51C2EFA9"/>
    <w:rsid w:val="51F9C117"/>
    <w:rsid w:val="52223B54"/>
    <w:rsid w:val="5239301A"/>
    <w:rsid w:val="52400016"/>
    <w:rsid w:val="525FA22A"/>
    <w:rsid w:val="5277B3B8"/>
    <w:rsid w:val="5282B54C"/>
    <w:rsid w:val="52B96FF4"/>
    <w:rsid w:val="52E5EB6D"/>
    <w:rsid w:val="52E9785A"/>
    <w:rsid w:val="532DEB7B"/>
    <w:rsid w:val="5367FEA6"/>
    <w:rsid w:val="536A6F13"/>
    <w:rsid w:val="5378BE79"/>
    <w:rsid w:val="537BE658"/>
    <w:rsid w:val="539157B5"/>
    <w:rsid w:val="53AC2F4C"/>
    <w:rsid w:val="53BA6E71"/>
    <w:rsid w:val="53D1FE23"/>
    <w:rsid w:val="53DB7AD2"/>
    <w:rsid w:val="540F4368"/>
    <w:rsid w:val="541E17E1"/>
    <w:rsid w:val="544DF317"/>
    <w:rsid w:val="547DF391"/>
    <w:rsid w:val="54B8D7D4"/>
    <w:rsid w:val="5513527E"/>
    <w:rsid w:val="551F61A3"/>
    <w:rsid w:val="55306588"/>
    <w:rsid w:val="553D23CE"/>
    <w:rsid w:val="55409557"/>
    <w:rsid w:val="556CBACD"/>
    <w:rsid w:val="55BBA6D6"/>
    <w:rsid w:val="56017852"/>
    <w:rsid w:val="56312B31"/>
    <w:rsid w:val="567A9707"/>
    <w:rsid w:val="567AE15F"/>
    <w:rsid w:val="56EB810F"/>
    <w:rsid w:val="570A9770"/>
    <w:rsid w:val="57419F2B"/>
    <w:rsid w:val="5741EA41"/>
    <w:rsid w:val="5741F0E0"/>
    <w:rsid w:val="57592CDC"/>
    <w:rsid w:val="576452CE"/>
    <w:rsid w:val="576AB8A7"/>
    <w:rsid w:val="5788EFF3"/>
    <w:rsid w:val="57B05620"/>
    <w:rsid w:val="57DE43F7"/>
    <w:rsid w:val="57F32BC9"/>
    <w:rsid w:val="581CCEB0"/>
    <w:rsid w:val="581E46C6"/>
    <w:rsid w:val="58296AD8"/>
    <w:rsid w:val="582CE07D"/>
    <w:rsid w:val="585766F8"/>
    <w:rsid w:val="58AE572F"/>
    <w:rsid w:val="58CECC7B"/>
    <w:rsid w:val="58D2245D"/>
    <w:rsid w:val="58E36EF3"/>
    <w:rsid w:val="59172972"/>
    <w:rsid w:val="5939B4E3"/>
    <w:rsid w:val="594226F7"/>
    <w:rsid w:val="5943CFD9"/>
    <w:rsid w:val="5944FB1D"/>
    <w:rsid w:val="5953F57D"/>
    <w:rsid w:val="595B6162"/>
    <w:rsid w:val="596B7FAE"/>
    <w:rsid w:val="59979179"/>
    <w:rsid w:val="59BB1025"/>
    <w:rsid w:val="59EFECFF"/>
    <w:rsid w:val="5A27D61C"/>
    <w:rsid w:val="5A5992F5"/>
    <w:rsid w:val="5AB09C30"/>
    <w:rsid w:val="5AC10D3A"/>
    <w:rsid w:val="5ADB06FA"/>
    <w:rsid w:val="5AF8CA87"/>
    <w:rsid w:val="5B05AE33"/>
    <w:rsid w:val="5B35C787"/>
    <w:rsid w:val="5B422E60"/>
    <w:rsid w:val="5B491FC7"/>
    <w:rsid w:val="5B4D4D22"/>
    <w:rsid w:val="5B80DB51"/>
    <w:rsid w:val="5B98C441"/>
    <w:rsid w:val="5BD8FBF9"/>
    <w:rsid w:val="5BEA9B30"/>
    <w:rsid w:val="5BF2869C"/>
    <w:rsid w:val="5BF3E79C"/>
    <w:rsid w:val="5BF4B03B"/>
    <w:rsid w:val="5C0BAB6A"/>
    <w:rsid w:val="5C1B8FD4"/>
    <w:rsid w:val="5C22E673"/>
    <w:rsid w:val="5C2D75E5"/>
    <w:rsid w:val="5C9279CA"/>
    <w:rsid w:val="5C9ED035"/>
    <w:rsid w:val="5CA1CF3E"/>
    <w:rsid w:val="5CAB2A2C"/>
    <w:rsid w:val="5CD23EC1"/>
    <w:rsid w:val="5CD68D4B"/>
    <w:rsid w:val="5D18211E"/>
    <w:rsid w:val="5D4839DC"/>
    <w:rsid w:val="5D60E98F"/>
    <w:rsid w:val="5D6A1A03"/>
    <w:rsid w:val="5D76CEB9"/>
    <w:rsid w:val="5D7C1CE1"/>
    <w:rsid w:val="5D7C3DB7"/>
    <w:rsid w:val="5DB01EDE"/>
    <w:rsid w:val="5DB78208"/>
    <w:rsid w:val="5DC2414E"/>
    <w:rsid w:val="5DD101AF"/>
    <w:rsid w:val="5DE4776C"/>
    <w:rsid w:val="5E084DC7"/>
    <w:rsid w:val="5E141603"/>
    <w:rsid w:val="5E6E4D10"/>
    <w:rsid w:val="5E7BEE9F"/>
    <w:rsid w:val="5E9B4E77"/>
    <w:rsid w:val="5E9C1EC1"/>
    <w:rsid w:val="5EAF95F2"/>
    <w:rsid w:val="5EFB90CA"/>
    <w:rsid w:val="5F21966A"/>
    <w:rsid w:val="5F2F865F"/>
    <w:rsid w:val="5F4719AB"/>
    <w:rsid w:val="5F6BD0C0"/>
    <w:rsid w:val="5FB1F81A"/>
    <w:rsid w:val="5FB20492"/>
    <w:rsid w:val="6038D8F7"/>
    <w:rsid w:val="604F81B1"/>
    <w:rsid w:val="60FDBFE0"/>
    <w:rsid w:val="6109DD6B"/>
    <w:rsid w:val="610DA153"/>
    <w:rsid w:val="610EF4E7"/>
    <w:rsid w:val="61200763"/>
    <w:rsid w:val="614011B4"/>
    <w:rsid w:val="614F5100"/>
    <w:rsid w:val="61998543"/>
    <w:rsid w:val="61B7C05A"/>
    <w:rsid w:val="61C6760A"/>
    <w:rsid w:val="61CA3779"/>
    <w:rsid w:val="6236D68F"/>
    <w:rsid w:val="6263DD64"/>
    <w:rsid w:val="626A7072"/>
    <w:rsid w:val="628E5574"/>
    <w:rsid w:val="62AD52FE"/>
    <w:rsid w:val="62B69C0D"/>
    <w:rsid w:val="62CC6CD6"/>
    <w:rsid w:val="62DEF5C3"/>
    <w:rsid w:val="6341A68A"/>
    <w:rsid w:val="634DF179"/>
    <w:rsid w:val="639FCC28"/>
    <w:rsid w:val="63B1E39D"/>
    <w:rsid w:val="63BC94D5"/>
    <w:rsid w:val="63E69A0E"/>
    <w:rsid w:val="63E6D916"/>
    <w:rsid w:val="63E78966"/>
    <w:rsid w:val="6409371C"/>
    <w:rsid w:val="644E47AF"/>
    <w:rsid w:val="64514641"/>
    <w:rsid w:val="6477FDF6"/>
    <w:rsid w:val="64B0C264"/>
    <w:rsid w:val="64BCA3FC"/>
    <w:rsid w:val="64D1B75E"/>
    <w:rsid w:val="6501155E"/>
    <w:rsid w:val="6527B288"/>
    <w:rsid w:val="6535360E"/>
    <w:rsid w:val="65403C51"/>
    <w:rsid w:val="65605E78"/>
    <w:rsid w:val="6572D485"/>
    <w:rsid w:val="6573AEA2"/>
    <w:rsid w:val="657E3128"/>
    <w:rsid w:val="6584AA31"/>
    <w:rsid w:val="658BC172"/>
    <w:rsid w:val="65C0C0CC"/>
    <w:rsid w:val="65C26CA7"/>
    <w:rsid w:val="65DC0AB3"/>
    <w:rsid w:val="65F329CF"/>
    <w:rsid w:val="65F3EF32"/>
    <w:rsid w:val="66055B2B"/>
    <w:rsid w:val="663D9853"/>
    <w:rsid w:val="664EF5FF"/>
    <w:rsid w:val="666763CC"/>
    <w:rsid w:val="6667EA3E"/>
    <w:rsid w:val="66B5BE61"/>
    <w:rsid w:val="66C707D7"/>
    <w:rsid w:val="66DF57D8"/>
    <w:rsid w:val="66DFDA5E"/>
    <w:rsid w:val="66FB29CD"/>
    <w:rsid w:val="6710BEC2"/>
    <w:rsid w:val="6717366B"/>
    <w:rsid w:val="676131A6"/>
    <w:rsid w:val="6772D910"/>
    <w:rsid w:val="6772F7A2"/>
    <w:rsid w:val="67A76CB7"/>
    <w:rsid w:val="67B13FE2"/>
    <w:rsid w:val="67E0D677"/>
    <w:rsid w:val="684283C9"/>
    <w:rsid w:val="68473433"/>
    <w:rsid w:val="6881F644"/>
    <w:rsid w:val="68F72881"/>
    <w:rsid w:val="68FC61CE"/>
    <w:rsid w:val="69049D76"/>
    <w:rsid w:val="690B636C"/>
    <w:rsid w:val="693AC77E"/>
    <w:rsid w:val="69519C31"/>
    <w:rsid w:val="69650656"/>
    <w:rsid w:val="698F3B36"/>
    <w:rsid w:val="699F836B"/>
    <w:rsid w:val="69E554A5"/>
    <w:rsid w:val="6A1352AD"/>
    <w:rsid w:val="6A15BCFE"/>
    <w:rsid w:val="6A3751B8"/>
    <w:rsid w:val="6A5120AD"/>
    <w:rsid w:val="6A63F954"/>
    <w:rsid w:val="6A6FEA2A"/>
    <w:rsid w:val="6A9327E0"/>
    <w:rsid w:val="6A9342E8"/>
    <w:rsid w:val="6AAD6824"/>
    <w:rsid w:val="6AD52B24"/>
    <w:rsid w:val="6AF4E1D5"/>
    <w:rsid w:val="6B31DD53"/>
    <w:rsid w:val="6B364C70"/>
    <w:rsid w:val="6B60A5D1"/>
    <w:rsid w:val="6B80E9A7"/>
    <w:rsid w:val="6B884BCE"/>
    <w:rsid w:val="6BA27F57"/>
    <w:rsid w:val="6BB00CF8"/>
    <w:rsid w:val="6BF027D0"/>
    <w:rsid w:val="6BF6E9AC"/>
    <w:rsid w:val="6C3FA570"/>
    <w:rsid w:val="6C48BAFF"/>
    <w:rsid w:val="6CC0BF8E"/>
    <w:rsid w:val="6CE791B7"/>
    <w:rsid w:val="6CECD036"/>
    <w:rsid w:val="6CFE4299"/>
    <w:rsid w:val="6D1C4265"/>
    <w:rsid w:val="6D3138B3"/>
    <w:rsid w:val="6D31DF83"/>
    <w:rsid w:val="6D3E15DF"/>
    <w:rsid w:val="6D4DFBC5"/>
    <w:rsid w:val="6D850851"/>
    <w:rsid w:val="6D89879F"/>
    <w:rsid w:val="6DBB81D8"/>
    <w:rsid w:val="6DFFC7E6"/>
    <w:rsid w:val="6E0EEAA2"/>
    <w:rsid w:val="6E150CB1"/>
    <w:rsid w:val="6E22BDC5"/>
    <w:rsid w:val="6E44169F"/>
    <w:rsid w:val="6E4A6157"/>
    <w:rsid w:val="6EA9B480"/>
    <w:rsid w:val="6EB09FB0"/>
    <w:rsid w:val="6EB99CFF"/>
    <w:rsid w:val="6ECADAAF"/>
    <w:rsid w:val="6EF66682"/>
    <w:rsid w:val="6F0B6865"/>
    <w:rsid w:val="6F238934"/>
    <w:rsid w:val="6F2D1C12"/>
    <w:rsid w:val="6F6A5E51"/>
    <w:rsid w:val="6F6E95D0"/>
    <w:rsid w:val="6F6F5C5F"/>
    <w:rsid w:val="702A0130"/>
    <w:rsid w:val="702CCAF7"/>
    <w:rsid w:val="70324E6C"/>
    <w:rsid w:val="709E5019"/>
    <w:rsid w:val="70DED3E5"/>
    <w:rsid w:val="70ECB227"/>
    <w:rsid w:val="70EDEAD0"/>
    <w:rsid w:val="70EF922C"/>
    <w:rsid w:val="710B6052"/>
    <w:rsid w:val="711EB00F"/>
    <w:rsid w:val="712EF2FD"/>
    <w:rsid w:val="7133E09C"/>
    <w:rsid w:val="713DA9BA"/>
    <w:rsid w:val="7153C917"/>
    <w:rsid w:val="71AB0E39"/>
    <w:rsid w:val="71C37B21"/>
    <w:rsid w:val="71CD0E21"/>
    <w:rsid w:val="71FB32C3"/>
    <w:rsid w:val="7203C909"/>
    <w:rsid w:val="722EB55E"/>
    <w:rsid w:val="727361E9"/>
    <w:rsid w:val="72745D58"/>
    <w:rsid w:val="72788BBD"/>
    <w:rsid w:val="72A583D6"/>
    <w:rsid w:val="72BD71DF"/>
    <w:rsid w:val="72DDD94C"/>
    <w:rsid w:val="72E2DA52"/>
    <w:rsid w:val="734CE188"/>
    <w:rsid w:val="734FC5A1"/>
    <w:rsid w:val="7384DEC8"/>
    <w:rsid w:val="739F3766"/>
    <w:rsid w:val="73A476D5"/>
    <w:rsid w:val="73CDC9B3"/>
    <w:rsid w:val="73D686BB"/>
    <w:rsid w:val="73E2D3D0"/>
    <w:rsid w:val="73EE684D"/>
    <w:rsid w:val="742303D4"/>
    <w:rsid w:val="7438F66D"/>
    <w:rsid w:val="7462C597"/>
    <w:rsid w:val="746DC676"/>
    <w:rsid w:val="7476E94A"/>
    <w:rsid w:val="749ADCAB"/>
    <w:rsid w:val="749F96FF"/>
    <w:rsid w:val="74A9C304"/>
    <w:rsid w:val="74E6F4FA"/>
    <w:rsid w:val="75A35845"/>
    <w:rsid w:val="75D5B251"/>
    <w:rsid w:val="75F8A24F"/>
    <w:rsid w:val="76015BF5"/>
    <w:rsid w:val="76242674"/>
    <w:rsid w:val="763ADD30"/>
    <w:rsid w:val="767A258B"/>
    <w:rsid w:val="767B7AEE"/>
    <w:rsid w:val="767E3618"/>
    <w:rsid w:val="76928883"/>
    <w:rsid w:val="76BD154B"/>
    <w:rsid w:val="76BFACD7"/>
    <w:rsid w:val="76C3D124"/>
    <w:rsid w:val="76C43793"/>
    <w:rsid w:val="76D007EE"/>
    <w:rsid w:val="76F56D6A"/>
    <w:rsid w:val="778E4836"/>
    <w:rsid w:val="77AF65FD"/>
    <w:rsid w:val="77B32837"/>
    <w:rsid w:val="77CCDC7C"/>
    <w:rsid w:val="77D7E6B6"/>
    <w:rsid w:val="78146704"/>
    <w:rsid w:val="78821AF5"/>
    <w:rsid w:val="789BDEB3"/>
    <w:rsid w:val="78B11B8F"/>
    <w:rsid w:val="78C052AA"/>
    <w:rsid w:val="78E04CF7"/>
    <w:rsid w:val="78F2828B"/>
    <w:rsid w:val="79269E1C"/>
    <w:rsid w:val="7929026C"/>
    <w:rsid w:val="7933FEFE"/>
    <w:rsid w:val="794BA160"/>
    <w:rsid w:val="795340B4"/>
    <w:rsid w:val="7954CAAC"/>
    <w:rsid w:val="7999D2C3"/>
    <w:rsid w:val="79A67A9C"/>
    <w:rsid w:val="79DB2901"/>
    <w:rsid w:val="7A766EC1"/>
    <w:rsid w:val="7AC322B4"/>
    <w:rsid w:val="7AD29141"/>
    <w:rsid w:val="7B134FA0"/>
    <w:rsid w:val="7B2FA9D5"/>
    <w:rsid w:val="7B4F5038"/>
    <w:rsid w:val="7B64BA40"/>
    <w:rsid w:val="7B7DA38F"/>
    <w:rsid w:val="7B8BF427"/>
    <w:rsid w:val="7BAF40BA"/>
    <w:rsid w:val="7BC42AD9"/>
    <w:rsid w:val="7BEF9A5B"/>
    <w:rsid w:val="7C0172AE"/>
    <w:rsid w:val="7C022B99"/>
    <w:rsid w:val="7C0E402C"/>
    <w:rsid w:val="7C7B51D4"/>
    <w:rsid w:val="7C8F0DCB"/>
    <w:rsid w:val="7C9717C0"/>
    <w:rsid w:val="7C9CA153"/>
    <w:rsid w:val="7C9EB0CF"/>
    <w:rsid w:val="7CA88340"/>
    <w:rsid w:val="7CCE1E61"/>
    <w:rsid w:val="7D50F1B4"/>
    <w:rsid w:val="7D53F33B"/>
    <w:rsid w:val="7D58F158"/>
    <w:rsid w:val="7D60FE42"/>
    <w:rsid w:val="7D7383E2"/>
    <w:rsid w:val="7D758AFA"/>
    <w:rsid w:val="7DB9FBD7"/>
    <w:rsid w:val="7DBE4043"/>
    <w:rsid w:val="7DCEA370"/>
    <w:rsid w:val="7DE1EA6B"/>
    <w:rsid w:val="7DE6A9CE"/>
    <w:rsid w:val="7E3CD06B"/>
    <w:rsid w:val="7E7205B0"/>
    <w:rsid w:val="7E74A3BD"/>
    <w:rsid w:val="7E819E76"/>
    <w:rsid w:val="7E83E4A5"/>
    <w:rsid w:val="7E86A13E"/>
    <w:rsid w:val="7F15E93F"/>
    <w:rsid w:val="7F219A4D"/>
    <w:rsid w:val="7F3B5D5D"/>
    <w:rsid w:val="7F3E17E6"/>
    <w:rsid w:val="7F418755"/>
    <w:rsid w:val="7F41BE10"/>
    <w:rsid w:val="7F437B97"/>
    <w:rsid w:val="7F46CA3A"/>
    <w:rsid w:val="7FA68B2D"/>
    <w:rsid w:val="7FDC7EA9"/>
    <w:rsid w:val="7FDDA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5A012"/>
  <w15:docId w15:val="{609B1C3F-6AC1-478D-A5B1-8A045CC2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B55"/>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5"/>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4"/>
      </w:numPr>
    </w:pPr>
  </w:style>
  <w:style w:type="paragraph" w:customStyle="1" w:styleId="Bulletpoints">
    <w:name w:val="Bullet points"/>
    <w:basedOn w:val="Normal"/>
    <w:link w:val="BulletpointsChar"/>
    <w:qFormat/>
    <w:rsid w:val="005570B5"/>
    <w:pPr>
      <w:numPr>
        <w:numId w:val="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8"/>
      </w:numPr>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rmaltextrun">
    <w:name w:val="normaltextrun"/>
    <w:basedOn w:val="DefaultParagraphFont"/>
    <w:rsid w:val="00212C6C"/>
  </w:style>
  <w:style w:type="character" w:customStyle="1" w:styleId="eop">
    <w:name w:val="eop"/>
    <w:basedOn w:val="DefaultParagraphFont"/>
    <w:rsid w:val="00212C6C"/>
  </w:style>
  <w:style w:type="paragraph" w:customStyle="1" w:styleId="paragraph">
    <w:name w:val="paragraph"/>
    <w:basedOn w:val="Normal"/>
    <w:rsid w:val="00FA4791"/>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7768">
      <w:bodyDiv w:val="1"/>
      <w:marLeft w:val="0"/>
      <w:marRight w:val="0"/>
      <w:marTop w:val="0"/>
      <w:marBottom w:val="0"/>
      <w:divBdr>
        <w:top w:val="none" w:sz="0" w:space="0" w:color="auto"/>
        <w:left w:val="none" w:sz="0" w:space="0" w:color="auto"/>
        <w:bottom w:val="none" w:sz="0" w:space="0" w:color="auto"/>
        <w:right w:val="none" w:sz="0" w:space="0" w:color="auto"/>
      </w:divBdr>
      <w:divsChild>
        <w:div w:id="139926779">
          <w:marLeft w:val="0"/>
          <w:marRight w:val="0"/>
          <w:marTop w:val="0"/>
          <w:marBottom w:val="0"/>
          <w:divBdr>
            <w:top w:val="none" w:sz="0" w:space="0" w:color="auto"/>
            <w:left w:val="none" w:sz="0" w:space="0" w:color="auto"/>
            <w:bottom w:val="none" w:sz="0" w:space="0" w:color="auto"/>
            <w:right w:val="none" w:sz="0" w:space="0" w:color="auto"/>
          </w:divBdr>
        </w:div>
        <w:div w:id="375204885">
          <w:marLeft w:val="0"/>
          <w:marRight w:val="0"/>
          <w:marTop w:val="0"/>
          <w:marBottom w:val="0"/>
          <w:divBdr>
            <w:top w:val="none" w:sz="0" w:space="0" w:color="auto"/>
            <w:left w:val="none" w:sz="0" w:space="0" w:color="auto"/>
            <w:bottom w:val="none" w:sz="0" w:space="0" w:color="auto"/>
            <w:right w:val="none" w:sz="0" w:space="0" w:color="auto"/>
          </w:divBdr>
        </w:div>
        <w:div w:id="507402734">
          <w:marLeft w:val="0"/>
          <w:marRight w:val="0"/>
          <w:marTop w:val="0"/>
          <w:marBottom w:val="0"/>
          <w:divBdr>
            <w:top w:val="none" w:sz="0" w:space="0" w:color="auto"/>
            <w:left w:val="none" w:sz="0" w:space="0" w:color="auto"/>
            <w:bottom w:val="none" w:sz="0" w:space="0" w:color="auto"/>
            <w:right w:val="none" w:sz="0" w:space="0" w:color="auto"/>
          </w:divBdr>
        </w:div>
        <w:div w:id="627317446">
          <w:marLeft w:val="0"/>
          <w:marRight w:val="0"/>
          <w:marTop w:val="0"/>
          <w:marBottom w:val="0"/>
          <w:divBdr>
            <w:top w:val="none" w:sz="0" w:space="0" w:color="auto"/>
            <w:left w:val="none" w:sz="0" w:space="0" w:color="auto"/>
            <w:bottom w:val="none" w:sz="0" w:space="0" w:color="auto"/>
            <w:right w:val="none" w:sz="0" w:space="0" w:color="auto"/>
          </w:divBdr>
        </w:div>
        <w:div w:id="977614581">
          <w:marLeft w:val="0"/>
          <w:marRight w:val="0"/>
          <w:marTop w:val="0"/>
          <w:marBottom w:val="0"/>
          <w:divBdr>
            <w:top w:val="none" w:sz="0" w:space="0" w:color="auto"/>
            <w:left w:val="none" w:sz="0" w:space="0" w:color="auto"/>
            <w:bottom w:val="none" w:sz="0" w:space="0" w:color="auto"/>
            <w:right w:val="none" w:sz="0" w:space="0" w:color="auto"/>
          </w:divBdr>
        </w:div>
        <w:div w:id="1003239361">
          <w:marLeft w:val="0"/>
          <w:marRight w:val="0"/>
          <w:marTop w:val="0"/>
          <w:marBottom w:val="0"/>
          <w:divBdr>
            <w:top w:val="none" w:sz="0" w:space="0" w:color="auto"/>
            <w:left w:val="none" w:sz="0" w:space="0" w:color="auto"/>
            <w:bottom w:val="none" w:sz="0" w:space="0" w:color="auto"/>
            <w:right w:val="none" w:sz="0" w:space="0" w:color="auto"/>
          </w:divBdr>
        </w:div>
        <w:div w:id="1040974527">
          <w:marLeft w:val="0"/>
          <w:marRight w:val="0"/>
          <w:marTop w:val="0"/>
          <w:marBottom w:val="0"/>
          <w:divBdr>
            <w:top w:val="none" w:sz="0" w:space="0" w:color="auto"/>
            <w:left w:val="none" w:sz="0" w:space="0" w:color="auto"/>
            <w:bottom w:val="none" w:sz="0" w:space="0" w:color="auto"/>
            <w:right w:val="none" w:sz="0" w:space="0" w:color="auto"/>
          </w:divBdr>
        </w:div>
        <w:div w:id="1295988902">
          <w:marLeft w:val="-75"/>
          <w:marRight w:val="0"/>
          <w:marTop w:val="30"/>
          <w:marBottom w:val="30"/>
          <w:divBdr>
            <w:top w:val="none" w:sz="0" w:space="0" w:color="auto"/>
            <w:left w:val="none" w:sz="0" w:space="0" w:color="auto"/>
            <w:bottom w:val="none" w:sz="0" w:space="0" w:color="auto"/>
            <w:right w:val="none" w:sz="0" w:space="0" w:color="auto"/>
          </w:divBdr>
          <w:divsChild>
            <w:div w:id="17511742">
              <w:marLeft w:val="0"/>
              <w:marRight w:val="0"/>
              <w:marTop w:val="0"/>
              <w:marBottom w:val="0"/>
              <w:divBdr>
                <w:top w:val="none" w:sz="0" w:space="0" w:color="auto"/>
                <w:left w:val="none" w:sz="0" w:space="0" w:color="auto"/>
                <w:bottom w:val="none" w:sz="0" w:space="0" w:color="auto"/>
                <w:right w:val="none" w:sz="0" w:space="0" w:color="auto"/>
              </w:divBdr>
              <w:divsChild>
                <w:div w:id="924537848">
                  <w:marLeft w:val="0"/>
                  <w:marRight w:val="0"/>
                  <w:marTop w:val="0"/>
                  <w:marBottom w:val="0"/>
                  <w:divBdr>
                    <w:top w:val="none" w:sz="0" w:space="0" w:color="auto"/>
                    <w:left w:val="none" w:sz="0" w:space="0" w:color="auto"/>
                    <w:bottom w:val="none" w:sz="0" w:space="0" w:color="auto"/>
                    <w:right w:val="none" w:sz="0" w:space="0" w:color="auto"/>
                  </w:divBdr>
                </w:div>
              </w:divsChild>
            </w:div>
            <w:div w:id="144467868">
              <w:marLeft w:val="0"/>
              <w:marRight w:val="0"/>
              <w:marTop w:val="0"/>
              <w:marBottom w:val="0"/>
              <w:divBdr>
                <w:top w:val="none" w:sz="0" w:space="0" w:color="auto"/>
                <w:left w:val="none" w:sz="0" w:space="0" w:color="auto"/>
                <w:bottom w:val="none" w:sz="0" w:space="0" w:color="auto"/>
                <w:right w:val="none" w:sz="0" w:space="0" w:color="auto"/>
              </w:divBdr>
              <w:divsChild>
                <w:div w:id="723917252">
                  <w:marLeft w:val="0"/>
                  <w:marRight w:val="0"/>
                  <w:marTop w:val="0"/>
                  <w:marBottom w:val="0"/>
                  <w:divBdr>
                    <w:top w:val="none" w:sz="0" w:space="0" w:color="auto"/>
                    <w:left w:val="none" w:sz="0" w:space="0" w:color="auto"/>
                    <w:bottom w:val="none" w:sz="0" w:space="0" w:color="auto"/>
                    <w:right w:val="none" w:sz="0" w:space="0" w:color="auto"/>
                  </w:divBdr>
                </w:div>
              </w:divsChild>
            </w:div>
            <w:div w:id="453254839">
              <w:marLeft w:val="0"/>
              <w:marRight w:val="0"/>
              <w:marTop w:val="0"/>
              <w:marBottom w:val="0"/>
              <w:divBdr>
                <w:top w:val="none" w:sz="0" w:space="0" w:color="auto"/>
                <w:left w:val="none" w:sz="0" w:space="0" w:color="auto"/>
                <w:bottom w:val="none" w:sz="0" w:space="0" w:color="auto"/>
                <w:right w:val="none" w:sz="0" w:space="0" w:color="auto"/>
              </w:divBdr>
              <w:divsChild>
                <w:div w:id="264045559">
                  <w:marLeft w:val="0"/>
                  <w:marRight w:val="0"/>
                  <w:marTop w:val="0"/>
                  <w:marBottom w:val="0"/>
                  <w:divBdr>
                    <w:top w:val="none" w:sz="0" w:space="0" w:color="auto"/>
                    <w:left w:val="none" w:sz="0" w:space="0" w:color="auto"/>
                    <w:bottom w:val="none" w:sz="0" w:space="0" w:color="auto"/>
                    <w:right w:val="none" w:sz="0" w:space="0" w:color="auto"/>
                  </w:divBdr>
                </w:div>
              </w:divsChild>
            </w:div>
            <w:div w:id="923611859">
              <w:marLeft w:val="0"/>
              <w:marRight w:val="0"/>
              <w:marTop w:val="0"/>
              <w:marBottom w:val="0"/>
              <w:divBdr>
                <w:top w:val="none" w:sz="0" w:space="0" w:color="auto"/>
                <w:left w:val="none" w:sz="0" w:space="0" w:color="auto"/>
                <w:bottom w:val="none" w:sz="0" w:space="0" w:color="auto"/>
                <w:right w:val="none" w:sz="0" w:space="0" w:color="auto"/>
              </w:divBdr>
              <w:divsChild>
                <w:div w:id="2073114973">
                  <w:marLeft w:val="0"/>
                  <w:marRight w:val="0"/>
                  <w:marTop w:val="0"/>
                  <w:marBottom w:val="0"/>
                  <w:divBdr>
                    <w:top w:val="none" w:sz="0" w:space="0" w:color="auto"/>
                    <w:left w:val="none" w:sz="0" w:space="0" w:color="auto"/>
                    <w:bottom w:val="none" w:sz="0" w:space="0" w:color="auto"/>
                    <w:right w:val="none" w:sz="0" w:space="0" w:color="auto"/>
                  </w:divBdr>
                </w:div>
              </w:divsChild>
            </w:div>
            <w:div w:id="1219629199">
              <w:marLeft w:val="0"/>
              <w:marRight w:val="0"/>
              <w:marTop w:val="0"/>
              <w:marBottom w:val="0"/>
              <w:divBdr>
                <w:top w:val="none" w:sz="0" w:space="0" w:color="auto"/>
                <w:left w:val="none" w:sz="0" w:space="0" w:color="auto"/>
                <w:bottom w:val="none" w:sz="0" w:space="0" w:color="auto"/>
                <w:right w:val="none" w:sz="0" w:space="0" w:color="auto"/>
              </w:divBdr>
              <w:divsChild>
                <w:div w:id="1506483474">
                  <w:marLeft w:val="0"/>
                  <w:marRight w:val="0"/>
                  <w:marTop w:val="0"/>
                  <w:marBottom w:val="0"/>
                  <w:divBdr>
                    <w:top w:val="none" w:sz="0" w:space="0" w:color="auto"/>
                    <w:left w:val="none" w:sz="0" w:space="0" w:color="auto"/>
                    <w:bottom w:val="none" w:sz="0" w:space="0" w:color="auto"/>
                    <w:right w:val="none" w:sz="0" w:space="0" w:color="auto"/>
                  </w:divBdr>
                </w:div>
              </w:divsChild>
            </w:div>
            <w:div w:id="1444957416">
              <w:marLeft w:val="0"/>
              <w:marRight w:val="0"/>
              <w:marTop w:val="0"/>
              <w:marBottom w:val="0"/>
              <w:divBdr>
                <w:top w:val="none" w:sz="0" w:space="0" w:color="auto"/>
                <w:left w:val="none" w:sz="0" w:space="0" w:color="auto"/>
                <w:bottom w:val="none" w:sz="0" w:space="0" w:color="auto"/>
                <w:right w:val="none" w:sz="0" w:space="0" w:color="auto"/>
              </w:divBdr>
              <w:divsChild>
                <w:div w:id="1573926174">
                  <w:marLeft w:val="0"/>
                  <w:marRight w:val="0"/>
                  <w:marTop w:val="0"/>
                  <w:marBottom w:val="0"/>
                  <w:divBdr>
                    <w:top w:val="none" w:sz="0" w:space="0" w:color="auto"/>
                    <w:left w:val="none" w:sz="0" w:space="0" w:color="auto"/>
                    <w:bottom w:val="none" w:sz="0" w:space="0" w:color="auto"/>
                    <w:right w:val="none" w:sz="0" w:space="0" w:color="auto"/>
                  </w:divBdr>
                </w:div>
              </w:divsChild>
            </w:div>
            <w:div w:id="1470433942">
              <w:marLeft w:val="0"/>
              <w:marRight w:val="0"/>
              <w:marTop w:val="0"/>
              <w:marBottom w:val="0"/>
              <w:divBdr>
                <w:top w:val="none" w:sz="0" w:space="0" w:color="auto"/>
                <w:left w:val="none" w:sz="0" w:space="0" w:color="auto"/>
                <w:bottom w:val="none" w:sz="0" w:space="0" w:color="auto"/>
                <w:right w:val="none" w:sz="0" w:space="0" w:color="auto"/>
              </w:divBdr>
              <w:divsChild>
                <w:div w:id="1537423666">
                  <w:marLeft w:val="0"/>
                  <w:marRight w:val="0"/>
                  <w:marTop w:val="0"/>
                  <w:marBottom w:val="0"/>
                  <w:divBdr>
                    <w:top w:val="none" w:sz="0" w:space="0" w:color="auto"/>
                    <w:left w:val="none" w:sz="0" w:space="0" w:color="auto"/>
                    <w:bottom w:val="none" w:sz="0" w:space="0" w:color="auto"/>
                    <w:right w:val="none" w:sz="0" w:space="0" w:color="auto"/>
                  </w:divBdr>
                </w:div>
              </w:divsChild>
            </w:div>
            <w:div w:id="1995404742">
              <w:marLeft w:val="0"/>
              <w:marRight w:val="0"/>
              <w:marTop w:val="0"/>
              <w:marBottom w:val="0"/>
              <w:divBdr>
                <w:top w:val="none" w:sz="0" w:space="0" w:color="auto"/>
                <w:left w:val="none" w:sz="0" w:space="0" w:color="auto"/>
                <w:bottom w:val="none" w:sz="0" w:space="0" w:color="auto"/>
                <w:right w:val="none" w:sz="0" w:space="0" w:color="auto"/>
              </w:divBdr>
              <w:divsChild>
                <w:div w:id="17918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5383">
          <w:marLeft w:val="0"/>
          <w:marRight w:val="0"/>
          <w:marTop w:val="0"/>
          <w:marBottom w:val="0"/>
          <w:divBdr>
            <w:top w:val="none" w:sz="0" w:space="0" w:color="auto"/>
            <w:left w:val="none" w:sz="0" w:space="0" w:color="auto"/>
            <w:bottom w:val="none" w:sz="0" w:space="0" w:color="auto"/>
            <w:right w:val="none" w:sz="0" w:space="0" w:color="auto"/>
          </w:divBdr>
        </w:div>
        <w:div w:id="1469008049">
          <w:marLeft w:val="0"/>
          <w:marRight w:val="0"/>
          <w:marTop w:val="0"/>
          <w:marBottom w:val="0"/>
          <w:divBdr>
            <w:top w:val="none" w:sz="0" w:space="0" w:color="auto"/>
            <w:left w:val="none" w:sz="0" w:space="0" w:color="auto"/>
            <w:bottom w:val="none" w:sz="0" w:space="0" w:color="auto"/>
            <w:right w:val="none" w:sz="0" w:space="0" w:color="auto"/>
          </w:divBdr>
        </w:div>
        <w:div w:id="1524052333">
          <w:marLeft w:val="0"/>
          <w:marRight w:val="0"/>
          <w:marTop w:val="0"/>
          <w:marBottom w:val="0"/>
          <w:divBdr>
            <w:top w:val="none" w:sz="0" w:space="0" w:color="auto"/>
            <w:left w:val="none" w:sz="0" w:space="0" w:color="auto"/>
            <w:bottom w:val="none" w:sz="0" w:space="0" w:color="auto"/>
            <w:right w:val="none" w:sz="0" w:space="0" w:color="auto"/>
          </w:divBdr>
        </w:div>
        <w:div w:id="2111925582">
          <w:marLeft w:val="0"/>
          <w:marRight w:val="0"/>
          <w:marTop w:val="0"/>
          <w:marBottom w:val="0"/>
          <w:divBdr>
            <w:top w:val="none" w:sz="0" w:space="0" w:color="auto"/>
            <w:left w:val="none" w:sz="0" w:space="0" w:color="auto"/>
            <w:bottom w:val="none" w:sz="0" w:space="0" w:color="auto"/>
            <w:right w:val="none" w:sz="0" w:space="0" w:color="auto"/>
          </w:divBdr>
        </w:div>
      </w:divsChild>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22937951">
      <w:bodyDiv w:val="1"/>
      <w:marLeft w:val="0"/>
      <w:marRight w:val="0"/>
      <w:marTop w:val="0"/>
      <w:marBottom w:val="0"/>
      <w:divBdr>
        <w:top w:val="none" w:sz="0" w:space="0" w:color="auto"/>
        <w:left w:val="none" w:sz="0" w:space="0" w:color="auto"/>
        <w:bottom w:val="none" w:sz="0" w:space="0" w:color="auto"/>
        <w:right w:val="none" w:sz="0" w:space="0" w:color="auto"/>
      </w:divBdr>
      <w:divsChild>
        <w:div w:id="22362000">
          <w:marLeft w:val="0"/>
          <w:marRight w:val="0"/>
          <w:marTop w:val="0"/>
          <w:marBottom w:val="0"/>
          <w:divBdr>
            <w:top w:val="none" w:sz="0" w:space="0" w:color="auto"/>
            <w:left w:val="none" w:sz="0" w:space="0" w:color="auto"/>
            <w:bottom w:val="none" w:sz="0" w:space="0" w:color="auto"/>
            <w:right w:val="none" w:sz="0" w:space="0" w:color="auto"/>
          </w:divBdr>
        </w:div>
        <w:div w:id="624652992">
          <w:marLeft w:val="0"/>
          <w:marRight w:val="0"/>
          <w:marTop w:val="0"/>
          <w:marBottom w:val="0"/>
          <w:divBdr>
            <w:top w:val="none" w:sz="0" w:space="0" w:color="auto"/>
            <w:left w:val="none" w:sz="0" w:space="0" w:color="auto"/>
            <w:bottom w:val="none" w:sz="0" w:space="0" w:color="auto"/>
            <w:right w:val="none" w:sz="0" w:space="0" w:color="auto"/>
          </w:divBdr>
        </w:div>
        <w:div w:id="1019938755">
          <w:marLeft w:val="0"/>
          <w:marRight w:val="0"/>
          <w:marTop w:val="0"/>
          <w:marBottom w:val="0"/>
          <w:divBdr>
            <w:top w:val="none" w:sz="0" w:space="0" w:color="auto"/>
            <w:left w:val="none" w:sz="0" w:space="0" w:color="auto"/>
            <w:bottom w:val="none" w:sz="0" w:space="0" w:color="auto"/>
            <w:right w:val="none" w:sz="0" w:space="0" w:color="auto"/>
          </w:divBdr>
          <w:divsChild>
            <w:div w:id="711075087">
              <w:marLeft w:val="-75"/>
              <w:marRight w:val="0"/>
              <w:marTop w:val="30"/>
              <w:marBottom w:val="30"/>
              <w:divBdr>
                <w:top w:val="none" w:sz="0" w:space="0" w:color="auto"/>
                <w:left w:val="none" w:sz="0" w:space="0" w:color="auto"/>
                <w:bottom w:val="none" w:sz="0" w:space="0" w:color="auto"/>
                <w:right w:val="none" w:sz="0" w:space="0" w:color="auto"/>
              </w:divBdr>
              <w:divsChild>
                <w:div w:id="42021865">
                  <w:marLeft w:val="0"/>
                  <w:marRight w:val="0"/>
                  <w:marTop w:val="0"/>
                  <w:marBottom w:val="0"/>
                  <w:divBdr>
                    <w:top w:val="none" w:sz="0" w:space="0" w:color="auto"/>
                    <w:left w:val="none" w:sz="0" w:space="0" w:color="auto"/>
                    <w:bottom w:val="none" w:sz="0" w:space="0" w:color="auto"/>
                    <w:right w:val="none" w:sz="0" w:space="0" w:color="auto"/>
                  </w:divBdr>
                  <w:divsChild>
                    <w:div w:id="1209028864">
                      <w:marLeft w:val="0"/>
                      <w:marRight w:val="0"/>
                      <w:marTop w:val="0"/>
                      <w:marBottom w:val="0"/>
                      <w:divBdr>
                        <w:top w:val="none" w:sz="0" w:space="0" w:color="auto"/>
                        <w:left w:val="none" w:sz="0" w:space="0" w:color="auto"/>
                        <w:bottom w:val="none" w:sz="0" w:space="0" w:color="auto"/>
                        <w:right w:val="none" w:sz="0" w:space="0" w:color="auto"/>
                      </w:divBdr>
                    </w:div>
                  </w:divsChild>
                </w:div>
                <w:div w:id="247664715">
                  <w:marLeft w:val="0"/>
                  <w:marRight w:val="0"/>
                  <w:marTop w:val="0"/>
                  <w:marBottom w:val="0"/>
                  <w:divBdr>
                    <w:top w:val="none" w:sz="0" w:space="0" w:color="auto"/>
                    <w:left w:val="none" w:sz="0" w:space="0" w:color="auto"/>
                    <w:bottom w:val="none" w:sz="0" w:space="0" w:color="auto"/>
                    <w:right w:val="none" w:sz="0" w:space="0" w:color="auto"/>
                  </w:divBdr>
                  <w:divsChild>
                    <w:div w:id="425152962">
                      <w:marLeft w:val="0"/>
                      <w:marRight w:val="0"/>
                      <w:marTop w:val="0"/>
                      <w:marBottom w:val="0"/>
                      <w:divBdr>
                        <w:top w:val="none" w:sz="0" w:space="0" w:color="auto"/>
                        <w:left w:val="none" w:sz="0" w:space="0" w:color="auto"/>
                        <w:bottom w:val="none" w:sz="0" w:space="0" w:color="auto"/>
                        <w:right w:val="none" w:sz="0" w:space="0" w:color="auto"/>
                      </w:divBdr>
                    </w:div>
                  </w:divsChild>
                </w:div>
                <w:div w:id="330186062">
                  <w:marLeft w:val="0"/>
                  <w:marRight w:val="0"/>
                  <w:marTop w:val="0"/>
                  <w:marBottom w:val="0"/>
                  <w:divBdr>
                    <w:top w:val="none" w:sz="0" w:space="0" w:color="auto"/>
                    <w:left w:val="none" w:sz="0" w:space="0" w:color="auto"/>
                    <w:bottom w:val="none" w:sz="0" w:space="0" w:color="auto"/>
                    <w:right w:val="none" w:sz="0" w:space="0" w:color="auto"/>
                  </w:divBdr>
                  <w:divsChild>
                    <w:div w:id="850610105">
                      <w:marLeft w:val="0"/>
                      <w:marRight w:val="0"/>
                      <w:marTop w:val="0"/>
                      <w:marBottom w:val="0"/>
                      <w:divBdr>
                        <w:top w:val="none" w:sz="0" w:space="0" w:color="auto"/>
                        <w:left w:val="none" w:sz="0" w:space="0" w:color="auto"/>
                        <w:bottom w:val="none" w:sz="0" w:space="0" w:color="auto"/>
                        <w:right w:val="none" w:sz="0" w:space="0" w:color="auto"/>
                      </w:divBdr>
                    </w:div>
                  </w:divsChild>
                </w:div>
                <w:div w:id="395277059">
                  <w:marLeft w:val="0"/>
                  <w:marRight w:val="0"/>
                  <w:marTop w:val="0"/>
                  <w:marBottom w:val="0"/>
                  <w:divBdr>
                    <w:top w:val="none" w:sz="0" w:space="0" w:color="auto"/>
                    <w:left w:val="none" w:sz="0" w:space="0" w:color="auto"/>
                    <w:bottom w:val="none" w:sz="0" w:space="0" w:color="auto"/>
                    <w:right w:val="none" w:sz="0" w:space="0" w:color="auto"/>
                  </w:divBdr>
                  <w:divsChild>
                    <w:div w:id="842934542">
                      <w:marLeft w:val="0"/>
                      <w:marRight w:val="0"/>
                      <w:marTop w:val="0"/>
                      <w:marBottom w:val="0"/>
                      <w:divBdr>
                        <w:top w:val="none" w:sz="0" w:space="0" w:color="auto"/>
                        <w:left w:val="none" w:sz="0" w:space="0" w:color="auto"/>
                        <w:bottom w:val="none" w:sz="0" w:space="0" w:color="auto"/>
                        <w:right w:val="none" w:sz="0" w:space="0" w:color="auto"/>
                      </w:divBdr>
                    </w:div>
                  </w:divsChild>
                </w:div>
                <w:div w:id="619459135">
                  <w:marLeft w:val="0"/>
                  <w:marRight w:val="0"/>
                  <w:marTop w:val="0"/>
                  <w:marBottom w:val="0"/>
                  <w:divBdr>
                    <w:top w:val="none" w:sz="0" w:space="0" w:color="auto"/>
                    <w:left w:val="none" w:sz="0" w:space="0" w:color="auto"/>
                    <w:bottom w:val="none" w:sz="0" w:space="0" w:color="auto"/>
                    <w:right w:val="none" w:sz="0" w:space="0" w:color="auto"/>
                  </w:divBdr>
                  <w:divsChild>
                    <w:div w:id="478765227">
                      <w:marLeft w:val="0"/>
                      <w:marRight w:val="0"/>
                      <w:marTop w:val="0"/>
                      <w:marBottom w:val="0"/>
                      <w:divBdr>
                        <w:top w:val="none" w:sz="0" w:space="0" w:color="auto"/>
                        <w:left w:val="none" w:sz="0" w:space="0" w:color="auto"/>
                        <w:bottom w:val="none" w:sz="0" w:space="0" w:color="auto"/>
                        <w:right w:val="none" w:sz="0" w:space="0" w:color="auto"/>
                      </w:divBdr>
                    </w:div>
                  </w:divsChild>
                </w:div>
                <w:div w:id="856232355">
                  <w:marLeft w:val="0"/>
                  <w:marRight w:val="0"/>
                  <w:marTop w:val="0"/>
                  <w:marBottom w:val="0"/>
                  <w:divBdr>
                    <w:top w:val="none" w:sz="0" w:space="0" w:color="auto"/>
                    <w:left w:val="none" w:sz="0" w:space="0" w:color="auto"/>
                    <w:bottom w:val="none" w:sz="0" w:space="0" w:color="auto"/>
                    <w:right w:val="none" w:sz="0" w:space="0" w:color="auto"/>
                  </w:divBdr>
                  <w:divsChild>
                    <w:div w:id="2062360833">
                      <w:marLeft w:val="0"/>
                      <w:marRight w:val="0"/>
                      <w:marTop w:val="0"/>
                      <w:marBottom w:val="0"/>
                      <w:divBdr>
                        <w:top w:val="none" w:sz="0" w:space="0" w:color="auto"/>
                        <w:left w:val="none" w:sz="0" w:space="0" w:color="auto"/>
                        <w:bottom w:val="none" w:sz="0" w:space="0" w:color="auto"/>
                        <w:right w:val="none" w:sz="0" w:space="0" w:color="auto"/>
                      </w:divBdr>
                    </w:div>
                  </w:divsChild>
                </w:div>
                <w:div w:id="1045562004">
                  <w:marLeft w:val="0"/>
                  <w:marRight w:val="0"/>
                  <w:marTop w:val="0"/>
                  <w:marBottom w:val="0"/>
                  <w:divBdr>
                    <w:top w:val="none" w:sz="0" w:space="0" w:color="auto"/>
                    <w:left w:val="none" w:sz="0" w:space="0" w:color="auto"/>
                    <w:bottom w:val="none" w:sz="0" w:space="0" w:color="auto"/>
                    <w:right w:val="none" w:sz="0" w:space="0" w:color="auto"/>
                  </w:divBdr>
                  <w:divsChild>
                    <w:div w:id="1904293116">
                      <w:marLeft w:val="0"/>
                      <w:marRight w:val="0"/>
                      <w:marTop w:val="0"/>
                      <w:marBottom w:val="0"/>
                      <w:divBdr>
                        <w:top w:val="none" w:sz="0" w:space="0" w:color="auto"/>
                        <w:left w:val="none" w:sz="0" w:space="0" w:color="auto"/>
                        <w:bottom w:val="none" w:sz="0" w:space="0" w:color="auto"/>
                        <w:right w:val="none" w:sz="0" w:space="0" w:color="auto"/>
                      </w:divBdr>
                    </w:div>
                  </w:divsChild>
                </w:div>
                <w:div w:id="1093622888">
                  <w:marLeft w:val="0"/>
                  <w:marRight w:val="0"/>
                  <w:marTop w:val="0"/>
                  <w:marBottom w:val="0"/>
                  <w:divBdr>
                    <w:top w:val="none" w:sz="0" w:space="0" w:color="auto"/>
                    <w:left w:val="none" w:sz="0" w:space="0" w:color="auto"/>
                    <w:bottom w:val="none" w:sz="0" w:space="0" w:color="auto"/>
                    <w:right w:val="none" w:sz="0" w:space="0" w:color="auto"/>
                  </w:divBdr>
                  <w:divsChild>
                    <w:div w:id="20933398">
                      <w:marLeft w:val="0"/>
                      <w:marRight w:val="0"/>
                      <w:marTop w:val="0"/>
                      <w:marBottom w:val="0"/>
                      <w:divBdr>
                        <w:top w:val="none" w:sz="0" w:space="0" w:color="auto"/>
                        <w:left w:val="none" w:sz="0" w:space="0" w:color="auto"/>
                        <w:bottom w:val="none" w:sz="0" w:space="0" w:color="auto"/>
                        <w:right w:val="none" w:sz="0" w:space="0" w:color="auto"/>
                      </w:divBdr>
                    </w:div>
                  </w:divsChild>
                </w:div>
                <w:div w:id="1195193835">
                  <w:marLeft w:val="0"/>
                  <w:marRight w:val="0"/>
                  <w:marTop w:val="0"/>
                  <w:marBottom w:val="0"/>
                  <w:divBdr>
                    <w:top w:val="none" w:sz="0" w:space="0" w:color="auto"/>
                    <w:left w:val="none" w:sz="0" w:space="0" w:color="auto"/>
                    <w:bottom w:val="none" w:sz="0" w:space="0" w:color="auto"/>
                    <w:right w:val="none" w:sz="0" w:space="0" w:color="auto"/>
                  </w:divBdr>
                  <w:divsChild>
                    <w:div w:id="1673948957">
                      <w:marLeft w:val="0"/>
                      <w:marRight w:val="0"/>
                      <w:marTop w:val="0"/>
                      <w:marBottom w:val="0"/>
                      <w:divBdr>
                        <w:top w:val="none" w:sz="0" w:space="0" w:color="auto"/>
                        <w:left w:val="none" w:sz="0" w:space="0" w:color="auto"/>
                        <w:bottom w:val="none" w:sz="0" w:space="0" w:color="auto"/>
                        <w:right w:val="none" w:sz="0" w:space="0" w:color="auto"/>
                      </w:divBdr>
                    </w:div>
                  </w:divsChild>
                </w:div>
                <w:div w:id="1203789453">
                  <w:marLeft w:val="0"/>
                  <w:marRight w:val="0"/>
                  <w:marTop w:val="0"/>
                  <w:marBottom w:val="0"/>
                  <w:divBdr>
                    <w:top w:val="none" w:sz="0" w:space="0" w:color="auto"/>
                    <w:left w:val="none" w:sz="0" w:space="0" w:color="auto"/>
                    <w:bottom w:val="none" w:sz="0" w:space="0" w:color="auto"/>
                    <w:right w:val="none" w:sz="0" w:space="0" w:color="auto"/>
                  </w:divBdr>
                  <w:divsChild>
                    <w:div w:id="342362725">
                      <w:marLeft w:val="0"/>
                      <w:marRight w:val="0"/>
                      <w:marTop w:val="0"/>
                      <w:marBottom w:val="0"/>
                      <w:divBdr>
                        <w:top w:val="none" w:sz="0" w:space="0" w:color="auto"/>
                        <w:left w:val="none" w:sz="0" w:space="0" w:color="auto"/>
                        <w:bottom w:val="none" w:sz="0" w:space="0" w:color="auto"/>
                        <w:right w:val="none" w:sz="0" w:space="0" w:color="auto"/>
                      </w:divBdr>
                    </w:div>
                  </w:divsChild>
                </w:div>
                <w:div w:id="1240554356">
                  <w:marLeft w:val="0"/>
                  <w:marRight w:val="0"/>
                  <w:marTop w:val="0"/>
                  <w:marBottom w:val="0"/>
                  <w:divBdr>
                    <w:top w:val="none" w:sz="0" w:space="0" w:color="auto"/>
                    <w:left w:val="none" w:sz="0" w:space="0" w:color="auto"/>
                    <w:bottom w:val="none" w:sz="0" w:space="0" w:color="auto"/>
                    <w:right w:val="none" w:sz="0" w:space="0" w:color="auto"/>
                  </w:divBdr>
                  <w:divsChild>
                    <w:div w:id="963582739">
                      <w:marLeft w:val="0"/>
                      <w:marRight w:val="0"/>
                      <w:marTop w:val="0"/>
                      <w:marBottom w:val="0"/>
                      <w:divBdr>
                        <w:top w:val="none" w:sz="0" w:space="0" w:color="auto"/>
                        <w:left w:val="none" w:sz="0" w:space="0" w:color="auto"/>
                        <w:bottom w:val="none" w:sz="0" w:space="0" w:color="auto"/>
                        <w:right w:val="none" w:sz="0" w:space="0" w:color="auto"/>
                      </w:divBdr>
                    </w:div>
                  </w:divsChild>
                </w:div>
                <w:div w:id="1323199128">
                  <w:marLeft w:val="0"/>
                  <w:marRight w:val="0"/>
                  <w:marTop w:val="0"/>
                  <w:marBottom w:val="0"/>
                  <w:divBdr>
                    <w:top w:val="none" w:sz="0" w:space="0" w:color="auto"/>
                    <w:left w:val="none" w:sz="0" w:space="0" w:color="auto"/>
                    <w:bottom w:val="none" w:sz="0" w:space="0" w:color="auto"/>
                    <w:right w:val="none" w:sz="0" w:space="0" w:color="auto"/>
                  </w:divBdr>
                  <w:divsChild>
                    <w:div w:id="676544632">
                      <w:marLeft w:val="0"/>
                      <w:marRight w:val="0"/>
                      <w:marTop w:val="0"/>
                      <w:marBottom w:val="0"/>
                      <w:divBdr>
                        <w:top w:val="none" w:sz="0" w:space="0" w:color="auto"/>
                        <w:left w:val="none" w:sz="0" w:space="0" w:color="auto"/>
                        <w:bottom w:val="none" w:sz="0" w:space="0" w:color="auto"/>
                        <w:right w:val="none" w:sz="0" w:space="0" w:color="auto"/>
                      </w:divBdr>
                    </w:div>
                  </w:divsChild>
                </w:div>
                <w:div w:id="1386293802">
                  <w:marLeft w:val="0"/>
                  <w:marRight w:val="0"/>
                  <w:marTop w:val="0"/>
                  <w:marBottom w:val="0"/>
                  <w:divBdr>
                    <w:top w:val="none" w:sz="0" w:space="0" w:color="auto"/>
                    <w:left w:val="none" w:sz="0" w:space="0" w:color="auto"/>
                    <w:bottom w:val="none" w:sz="0" w:space="0" w:color="auto"/>
                    <w:right w:val="none" w:sz="0" w:space="0" w:color="auto"/>
                  </w:divBdr>
                  <w:divsChild>
                    <w:div w:id="327288918">
                      <w:marLeft w:val="0"/>
                      <w:marRight w:val="0"/>
                      <w:marTop w:val="0"/>
                      <w:marBottom w:val="0"/>
                      <w:divBdr>
                        <w:top w:val="none" w:sz="0" w:space="0" w:color="auto"/>
                        <w:left w:val="none" w:sz="0" w:space="0" w:color="auto"/>
                        <w:bottom w:val="none" w:sz="0" w:space="0" w:color="auto"/>
                        <w:right w:val="none" w:sz="0" w:space="0" w:color="auto"/>
                      </w:divBdr>
                    </w:div>
                  </w:divsChild>
                </w:div>
                <w:div w:id="1401754471">
                  <w:marLeft w:val="0"/>
                  <w:marRight w:val="0"/>
                  <w:marTop w:val="0"/>
                  <w:marBottom w:val="0"/>
                  <w:divBdr>
                    <w:top w:val="none" w:sz="0" w:space="0" w:color="auto"/>
                    <w:left w:val="none" w:sz="0" w:space="0" w:color="auto"/>
                    <w:bottom w:val="none" w:sz="0" w:space="0" w:color="auto"/>
                    <w:right w:val="none" w:sz="0" w:space="0" w:color="auto"/>
                  </w:divBdr>
                  <w:divsChild>
                    <w:div w:id="803935225">
                      <w:marLeft w:val="0"/>
                      <w:marRight w:val="0"/>
                      <w:marTop w:val="0"/>
                      <w:marBottom w:val="0"/>
                      <w:divBdr>
                        <w:top w:val="none" w:sz="0" w:space="0" w:color="auto"/>
                        <w:left w:val="none" w:sz="0" w:space="0" w:color="auto"/>
                        <w:bottom w:val="none" w:sz="0" w:space="0" w:color="auto"/>
                        <w:right w:val="none" w:sz="0" w:space="0" w:color="auto"/>
                      </w:divBdr>
                    </w:div>
                  </w:divsChild>
                </w:div>
                <w:div w:id="1443186688">
                  <w:marLeft w:val="0"/>
                  <w:marRight w:val="0"/>
                  <w:marTop w:val="0"/>
                  <w:marBottom w:val="0"/>
                  <w:divBdr>
                    <w:top w:val="none" w:sz="0" w:space="0" w:color="auto"/>
                    <w:left w:val="none" w:sz="0" w:space="0" w:color="auto"/>
                    <w:bottom w:val="none" w:sz="0" w:space="0" w:color="auto"/>
                    <w:right w:val="none" w:sz="0" w:space="0" w:color="auto"/>
                  </w:divBdr>
                  <w:divsChild>
                    <w:div w:id="2045599336">
                      <w:marLeft w:val="0"/>
                      <w:marRight w:val="0"/>
                      <w:marTop w:val="0"/>
                      <w:marBottom w:val="0"/>
                      <w:divBdr>
                        <w:top w:val="none" w:sz="0" w:space="0" w:color="auto"/>
                        <w:left w:val="none" w:sz="0" w:space="0" w:color="auto"/>
                        <w:bottom w:val="none" w:sz="0" w:space="0" w:color="auto"/>
                        <w:right w:val="none" w:sz="0" w:space="0" w:color="auto"/>
                      </w:divBdr>
                    </w:div>
                  </w:divsChild>
                </w:div>
                <w:div w:id="1595357078">
                  <w:marLeft w:val="0"/>
                  <w:marRight w:val="0"/>
                  <w:marTop w:val="0"/>
                  <w:marBottom w:val="0"/>
                  <w:divBdr>
                    <w:top w:val="none" w:sz="0" w:space="0" w:color="auto"/>
                    <w:left w:val="none" w:sz="0" w:space="0" w:color="auto"/>
                    <w:bottom w:val="none" w:sz="0" w:space="0" w:color="auto"/>
                    <w:right w:val="none" w:sz="0" w:space="0" w:color="auto"/>
                  </w:divBdr>
                  <w:divsChild>
                    <w:div w:id="1734698961">
                      <w:marLeft w:val="0"/>
                      <w:marRight w:val="0"/>
                      <w:marTop w:val="0"/>
                      <w:marBottom w:val="0"/>
                      <w:divBdr>
                        <w:top w:val="none" w:sz="0" w:space="0" w:color="auto"/>
                        <w:left w:val="none" w:sz="0" w:space="0" w:color="auto"/>
                        <w:bottom w:val="none" w:sz="0" w:space="0" w:color="auto"/>
                        <w:right w:val="none" w:sz="0" w:space="0" w:color="auto"/>
                      </w:divBdr>
                    </w:div>
                  </w:divsChild>
                </w:div>
                <w:div w:id="1900088839">
                  <w:marLeft w:val="0"/>
                  <w:marRight w:val="0"/>
                  <w:marTop w:val="0"/>
                  <w:marBottom w:val="0"/>
                  <w:divBdr>
                    <w:top w:val="none" w:sz="0" w:space="0" w:color="auto"/>
                    <w:left w:val="none" w:sz="0" w:space="0" w:color="auto"/>
                    <w:bottom w:val="none" w:sz="0" w:space="0" w:color="auto"/>
                    <w:right w:val="none" w:sz="0" w:space="0" w:color="auto"/>
                  </w:divBdr>
                  <w:divsChild>
                    <w:div w:id="104159444">
                      <w:marLeft w:val="0"/>
                      <w:marRight w:val="0"/>
                      <w:marTop w:val="0"/>
                      <w:marBottom w:val="0"/>
                      <w:divBdr>
                        <w:top w:val="none" w:sz="0" w:space="0" w:color="auto"/>
                        <w:left w:val="none" w:sz="0" w:space="0" w:color="auto"/>
                        <w:bottom w:val="none" w:sz="0" w:space="0" w:color="auto"/>
                        <w:right w:val="none" w:sz="0" w:space="0" w:color="auto"/>
                      </w:divBdr>
                    </w:div>
                  </w:divsChild>
                </w:div>
                <w:div w:id="2104839483">
                  <w:marLeft w:val="0"/>
                  <w:marRight w:val="0"/>
                  <w:marTop w:val="0"/>
                  <w:marBottom w:val="0"/>
                  <w:divBdr>
                    <w:top w:val="none" w:sz="0" w:space="0" w:color="auto"/>
                    <w:left w:val="none" w:sz="0" w:space="0" w:color="auto"/>
                    <w:bottom w:val="none" w:sz="0" w:space="0" w:color="auto"/>
                    <w:right w:val="none" w:sz="0" w:space="0" w:color="auto"/>
                  </w:divBdr>
                  <w:divsChild>
                    <w:div w:id="19723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01626">
          <w:marLeft w:val="0"/>
          <w:marRight w:val="0"/>
          <w:marTop w:val="0"/>
          <w:marBottom w:val="0"/>
          <w:divBdr>
            <w:top w:val="none" w:sz="0" w:space="0" w:color="auto"/>
            <w:left w:val="none" w:sz="0" w:space="0" w:color="auto"/>
            <w:bottom w:val="none" w:sz="0" w:space="0" w:color="auto"/>
            <w:right w:val="none" w:sz="0" w:space="0" w:color="auto"/>
          </w:divBdr>
        </w:div>
        <w:div w:id="1496915983">
          <w:marLeft w:val="0"/>
          <w:marRight w:val="0"/>
          <w:marTop w:val="0"/>
          <w:marBottom w:val="0"/>
          <w:divBdr>
            <w:top w:val="none" w:sz="0" w:space="0" w:color="auto"/>
            <w:left w:val="none" w:sz="0" w:space="0" w:color="auto"/>
            <w:bottom w:val="none" w:sz="0" w:space="0" w:color="auto"/>
            <w:right w:val="none" w:sz="0" w:space="0" w:color="auto"/>
          </w:divBdr>
        </w:div>
        <w:div w:id="1639408672">
          <w:marLeft w:val="0"/>
          <w:marRight w:val="0"/>
          <w:marTop w:val="0"/>
          <w:marBottom w:val="0"/>
          <w:divBdr>
            <w:top w:val="none" w:sz="0" w:space="0" w:color="auto"/>
            <w:left w:val="none" w:sz="0" w:space="0" w:color="auto"/>
            <w:bottom w:val="none" w:sz="0" w:space="0" w:color="auto"/>
            <w:right w:val="none" w:sz="0" w:space="0" w:color="auto"/>
          </w:divBdr>
        </w:div>
      </w:divsChild>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686710271">
      <w:bodyDiv w:val="1"/>
      <w:marLeft w:val="0"/>
      <w:marRight w:val="0"/>
      <w:marTop w:val="0"/>
      <w:marBottom w:val="0"/>
      <w:divBdr>
        <w:top w:val="none" w:sz="0" w:space="0" w:color="auto"/>
        <w:left w:val="none" w:sz="0" w:space="0" w:color="auto"/>
        <w:bottom w:val="none" w:sz="0" w:space="0" w:color="auto"/>
        <w:right w:val="none" w:sz="0" w:space="0" w:color="auto"/>
      </w:divBdr>
      <w:divsChild>
        <w:div w:id="1128351792">
          <w:marLeft w:val="0"/>
          <w:marRight w:val="0"/>
          <w:marTop w:val="0"/>
          <w:marBottom w:val="0"/>
          <w:divBdr>
            <w:top w:val="none" w:sz="0" w:space="0" w:color="auto"/>
            <w:left w:val="none" w:sz="0" w:space="0" w:color="auto"/>
            <w:bottom w:val="none" w:sz="0" w:space="0" w:color="auto"/>
            <w:right w:val="none" w:sz="0" w:space="0" w:color="auto"/>
          </w:divBdr>
        </w:div>
        <w:div w:id="1555703636">
          <w:marLeft w:val="0"/>
          <w:marRight w:val="0"/>
          <w:marTop w:val="0"/>
          <w:marBottom w:val="0"/>
          <w:divBdr>
            <w:top w:val="none" w:sz="0" w:space="0" w:color="auto"/>
            <w:left w:val="none" w:sz="0" w:space="0" w:color="auto"/>
            <w:bottom w:val="none" w:sz="0" w:space="0" w:color="auto"/>
            <w:right w:val="none" w:sz="0" w:space="0" w:color="auto"/>
          </w:divBdr>
        </w:div>
      </w:divsChild>
    </w:div>
    <w:div w:id="20875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ransparency-influence-and-accountability-standa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nsultations/consultation-on-the-consumer-standards/annex-3-consumer-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23/3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8954D75-8B51-4A70-997F-D71F850A929E}">
    <t:Anchor>
      <t:Comment id="946281248"/>
    </t:Anchor>
    <t:History>
      <t:Event id="{1FCEEE17-5DC5-4BE3-AC1E-8FEB44C9BA7F}" time="2024-09-25T18:49:25.076Z">
        <t:Attribution userId="S::nparry@oxford.gov.uk::2333eb87-4dd8-4e03-adfd-502b37cb80a9" userProvider="AD" userName="PARRY Nerys"/>
        <t:Anchor>
          <t:Comment id="946281248"/>
        </t:Anchor>
        <t:Create/>
      </t:Event>
      <t:Event id="{0C99DDC5-65A2-4641-8404-EE35E14EBB3E}" time="2024-09-25T18:49:25.076Z">
        <t:Attribution userId="S::nparry@oxford.gov.uk::2333eb87-4dd8-4e03-adfd-502b37cb80a9" userProvider="AD" userName="PARRY Nerys"/>
        <t:Anchor>
          <t:Comment id="946281248"/>
        </t:Anchor>
        <t:Assign userId="S::kedmunds@oxford.gov.uk::db7c0266-7543-4f6e-9a81-44c82bb08987" userProvider="AD" userName="EDMUNDS Kieran"/>
      </t:Event>
      <t:Event id="{40953689-9392-485C-8D22-EB12E1617A5F}" time="2024-09-25T18:49:25.076Z">
        <t:Attribution userId="S::nparry@oxford.gov.uk::2333eb87-4dd8-4e03-adfd-502b37cb80a9" userProvider="AD" userName="PARRY Nerys"/>
        <t:Anchor>
          <t:Comment id="946281248"/>
        </t:Anchor>
        <t:SetTitle title="The last point I don't really understand ... they carry on paying but can have brokedn items replaced? Is that right @EDMUNDS Kieran What do most people do =- we should indicate I think?"/>
      </t:Event>
    </t:History>
  </t:Task>
  <t:Task id="{561A50CE-C5E4-4FDD-A60F-99D17DAA23E0}">
    <t:Anchor>
      <t:Comment id="1884958909"/>
    </t:Anchor>
    <t:History>
      <t:Event id="{480E1A58-B277-4700-B1FC-DFC898F887C2}" time="2024-09-25T18:47:26.201Z">
        <t:Attribution userId="S::nparry@oxford.gov.uk::2333eb87-4dd8-4e03-adfd-502b37cb80a9" userProvider="AD" userName="PARRY Nerys"/>
        <t:Anchor>
          <t:Comment id="1884958909"/>
        </t:Anchor>
        <t:Create/>
      </t:Event>
      <t:Event id="{6083572B-00AB-4FB1-995E-7B939A404FED}" time="2024-09-25T18:47:26.201Z">
        <t:Attribution userId="S::nparry@oxford.gov.uk::2333eb87-4dd8-4e03-adfd-502b37cb80a9" userProvider="AD" userName="PARRY Nerys"/>
        <t:Anchor>
          <t:Comment id="1884958909"/>
        </t:Anchor>
        <t:Assign userId="S::kedmunds@oxford.gov.uk::db7c0266-7543-4f6e-9a81-44c82bb08987" userProvider="AD" userName="EDMUNDS Kieran"/>
      </t:Event>
      <t:Event id="{39B04E8A-C463-472B-A6BB-DE40D65A0277}" time="2024-09-25T18:47:26.201Z">
        <t:Attribution userId="S::nparry@oxford.gov.uk::2333eb87-4dd8-4e03-adfd-502b37cb80a9" userProvider="AD" userName="PARRY Nerys"/>
        <t:Anchor>
          <t:Comment id="1884958909"/>
        </t:Anchor>
        <t:SetTitle title="@EDMUNDS Kieran @WOOD Richard ,,, should we not add something around the purpose of the scheme ie to ensure tenants are able to settle in the new home with the basics?"/>
      </t:Event>
    </t:History>
  </t:Task>
  <t:Task id="{2ACD820F-EFD1-4DD0-BA2D-67EF70671803}">
    <t:Anchor>
      <t:Comment id="1833908030"/>
    </t:Anchor>
    <t:History>
      <t:Event id="{CB8CF997-1776-49BD-9466-F22706D99D14}" time="2024-09-25T18:50:19.696Z">
        <t:Attribution userId="S::nparry@oxford.gov.uk::2333eb87-4dd8-4e03-adfd-502b37cb80a9" userProvider="AD" userName="PARRY Nerys"/>
        <t:Anchor>
          <t:Comment id="1833908030"/>
        </t:Anchor>
        <t:Create/>
      </t:Event>
      <t:Event id="{E338E9FC-FCBE-4001-ADF8-B15F1D45CF11}" time="2024-09-25T18:50:19.696Z">
        <t:Attribution userId="S::nparry@oxford.gov.uk::2333eb87-4dd8-4e03-adfd-502b37cb80a9" userProvider="AD" userName="PARRY Nerys"/>
        <t:Anchor>
          <t:Comment id="1833908030"/>
        </t:Anchor>
        <t:Assign userId="S::kedmunds@oxford.gov.uk::db7c0266-7543-4f6e-9a81-44c82bb08987" userProvider="AD" userName="EDMUNDS Kieran"/>
      </t:Event>
      <t:Event id="{7E8C0DF3-0018-4B02-B4F0-C5212245384F}" time="2024-09-25T18:50:19.696Z">
        <t:Attribution userId="S::nparry@oxford.gov.uk::2333eb87-4dd8-4e03-adfd-502b37cb80a9" userProvider="AD" userName="PARRY Nerys"/>
        <t:Anchor>
          <t:Comment id="1833908030"/>
        </t:Anchor>
        <t:SetTitle title="@EDMUNDS Kieran @WOOD Richard - I'd move this up to the beginning"/>
      </t:Event>
    </t:History>
  </t:Task>
  <t:Task id="{BBC489D5-4AA9-4AD1-BE4C-9B424E4842BE}">
    <t:Anchor>
      <t:Comment id="1984481046"/>
    </t:Anchor>
    <t:History>
      <t:Event id="{0BBFF9A4-C17D-44B2-AD38-B14B1ADD9F4B}" time="2024-09-25T18:52:10.667Z">
        <t:Attribution userId="S::nparry@oxford.gov.uk::2333eb87-4dd8-4e03-adfd-502b37cb80a9" userProvider="AD" userName="PARRY Nerys"/>
        <t:Anchor>
          <t:Comment id="1984481046"/>
        </t:Anchor>
        <t:Create/>
      </t:Event>
      <t:Event id="{E4006E0B-9640-4154-950A-6D5D5BD7CA0E}" time="2024-09-25T18:52:10.667Z">
        <t:Attribution userId="S::nparry@oxford.gov.uk::2333eb87-4dd8-4e03-adfd-502b37cb80a9" userProvider="AD" userName="PARRY Nerys"/>
        <t:Anchor>
          <t:Comment id="1984481046"/>
        </t:Anchor>
        <t:Assign userId="S::rwood@oxford.gov.uk::e3a5db1e-507e-4190-850e-cecde7300ce9" userProvider="AD" userName="WOOD Richard"/>
      </t:Event>
      <t:Event id="{296F3952-787E-45C1-8D06-035091DDB70B}" time="2024-09-25T18:52:10.667Z">
        <t:Attribution userId="S::nparry@oxford.gov.uk::2333eb87-4dd8-4e03-adfd-502b37cb80a9" userProvider="AD" userName="PARRY Nerys"/>
        <t:Anchor>
          <t:Comment id="1984481046"/>
        </t:Anchor>
        <t:SetTitle title="@WOOD Richard - can we review this para please. We look incompetent ... in terms of having not noticed and then scrambling to Cabinet. Can you improve the wording please"/>
      </t:Event>
    </t:History>
  </t:Task>
  <t:Task id="{F42EE787-6E35-4A4D-A1E7-DA6509F34FFD}">
    <t:Anchor>
      <t:Comment id="2002856624"/>
    </t:Anchor>
    <t:History>
      <t:Event id="{FB63C63B-F38B-462C-8569-2AAB2929476B}" time="2024-09-25T18:53:19.525Z">
        <t:Attribution userId="S::nparry@oxford.gov.uk::2333eb87-4dd8-4e03-adfd-502b37cb80a9" userProvider="AD" userName="PARRY Nerys"/>
        <t:Anchor>
          <t:Comment id="2002856624"/>
        </t:Anchor>
        <t:Create/>
      </t:Event>
      <t:Event id="{C2F14741-31F9-47C6-BAF6-46A4D213B88C}" time="2024-09-25T18:53:19.525Z">
        <t:Attribution userId="S::nparry@oxford.gov.uk::2333eb87-4dd8-4e03-adfd-502b37cb80a9" userProvider="AD" userName="PARRY Nerys"/>
        <t:Anchor>
          <t:Comment id="2002856624"/>
        </t:Anchor>
        <t:Assign userId="S::rwood@oxford.gov.uk::e3a5db1e-507e-4190-850e-cecde7300ce9" userProvider="AD" userName="WOOD Richard"/>
      </t:Event>
      <t:Event id="{D13B283B-CFFD-4653-90B8-BFC217E7EA8F}" time="2024-09-25T18:53:19.525Z">
        <t:Attribution userId="S::nparry@oxford.gov.uk::2333eb87-4dd8-4e03-adfd-502b37cb80a9" userProvider="AD" userName="PARRY Nerys"/>
        <t:Anchor>
          <t:Comment id="2002856624"/>
        </t:Anchor>
        <t:SetTitle title="@WOOD Richard - again it feels like we just noticed this, has led to overspend etc etc ..."/>
      </t:Event>
    </t:History>
  </t:Task>
  <t:Task id="{7842F84E-3B08-4D03-B301-A963E1AC9E78}">
    <t:Anchor>
      <t:Comment id="855274768"/>
    </t:Anchor>
    <t:History>
      <t:Event id="{0C9A4F0D-1D5D-4FE3-808A-D787785C169C}" time="2024-09-25T18:56:44.953Z">
        <t:Attribution userId="S::nparry@oxford.gov.uk::2333eb87-4dd8-4e03-adfd-502b37cb80a9" userProvider="AD" userName="PARRY Nerys"/>
        <t:Anchor>
          <t:Comment id="855274768"/>
        </t:Anchor>
        <t:Create/>
      </t:Event>
      <t:Event id="{0062A031-EED9-49CF-8021-F728B9B11DBC}" time="2024-09-25T18:56:44.953Z">
        <t:Attribution userId="S::nparry@oxford.gov.uk::2333eb87-4dd8-4e03-adfd-502b37cb80a9" userProvider="AD" userName="PARRY Nerys"/>
        <t:Anchor>
          <t:Comment id="855274768"/>
        </t:Anchor>
        <t:Assign userId="S::kedmunds@oxford.gov.uk::db7c0266-7543-4f6e-9a81-44c82bb08987" userProvider="AD" userName="EDMUNDS Kieran"/>
      </t:Event>
      <t:Event id="{AE47AF1F-10E7-49CF-9333-91196107BBD4}" time="2024-09-25T18:56:44.953Z">
        <t:Attribution userId="S::nparry@oxford.gov.uk::2333eb87-4dd8-4e03-adfd-502b37cb80a9" userProvider="AD" userName="PARRY Nerys"/>
        <t:Anchor>
          <t:Comment id="855274768"/>
        </t:Anchor>
        <t:SetTitle title="@EDMUNDS Kieran @WOOD Richard - did we not say we would procure in Lots, if so we should lay tat out here"/>
      </t:Event>
    </t:History>
  </t:Task>
  <t:Task id="{E79021C3-26C7-47BB-B463-0924066673F5}">
    <t:Anchor>
      <t:Comment id="1003903152"/>
    </t:Anchor>
    <t:History>
      <t:Event id="{E782D7B5-B44D-4FE0-91C6-D84C423FBA8A}" time="2024-09-25T18:56:11.07Z">
        <t:Attribution userId="S::nparry@oxford.gov.uk::2333eb87-4dd8-4e03-adfd-502b37cb80a9" userProvider="AD" userName="PARRY Nerys"/>
        <t:Anchor>
          <t:Comment id="1003903152"/>
        </t:Anchor>
        <t:Create/>
      </t:Event>
      <t:Event id="{A7880695-EAC7-4318-B2CC-C4A1DFDCD8D1}" time="2024-09-25T18:56:11.07Z">
        <t:Attribution userId="S::nparry@oxford.gov.uk::2333eb87-4dd8-4e03-adfd-502b37cb80a9" userProvider="AD" userName="PARRY Nerys"/>
        <t:Anchor>
          <t:Comment id="1003903152"/>
        </t:Anchor>
        <t:Assign userId="S::rwood@oxford.gov.uk::e3a5db1e-507e-4190-850e-cecde7300ce9" userProvider="AD" userName="WOOD Richard"/>
      </t:Event>
      <t:Event id="{1D3844FF-E40F-489A-BB7D-8A265EDEB5EF}" time="2024-09-25T18:56:11.07Z">
        <t:Attribution userId="S::nparry@oxford.gov.uk::2333eb87-4dd8-4e03-adfd-502b37cb80a9" userProvider="AD" userName="PARRY Nerys"/>
        <t:Anchor>
          <t:Comment id="1003903152"/>
        </t:Anchor>
        <t:SetTitle title="you need to refer here thought to the general fund element for TA - how is that cost being covered? @WOOD Richard @EDMUNDS Kieran"/>
      </t:Event>
    </t:History>
  </t:Task>
  <t:Task id="{F0D6468E-B6DB-487C-9FED-1EFE4135222C}">
    <t:Anchor>
      <t:Comment id="718656503"/>
    </t:Anchor>
    <t:History>
      <t:Event id="{18C3B3A9-E68E-42BE-B8FC-CF00B4D55771}" time="2024-11-06T21:13:41.588Z">
        <t:Attribution userId="S::nparry@oxford.gov.uk::2333eb87-4dd8-4e03-adfd-502b37cb80a9" userProvider="AD" userName="PARRY Nerys"/>
        <t:Anchor>
          <t:Comment id="1419537692"/>
        </t:Anchor>
        <t:Create/>
      </t:Event>
      <t:Event id="{6C8DCB14-5E8C-492B-9227-36C9B7A8C6E1}" time="2024-11-06T21:13:41.588Z">
        <t:Attribution userId="S::nparry@oxford.gov.uk::2333eb87-4dd8-4e03-adfd-502b37cb80a9" userProvider="AD" userName="PARRY Nerys"/>
        <t:Anchor>
          <t:Comment id="1419537692"/>
        </t:Anchor>
        <t:Assign userId="S::jajones@oxford.gov.uk::b9bc19db-1cdd-4c80-8cf4-339430eac3de" userProvider="AD" userName="JONES Jason"/>
      </t:Event>
      <t:Event id="{C197E9F1-7C2E-4887-9819-B5EE0CEC1928}" time="2024-11-06T21:13:41.588Z">
        <t:Attribution userId="S::nparry@oxford.gov.uk::2333eb87-4dd8-4e03-adfd-502b37cb80a9" userProvider="AD" userName="PARRY Nerys"/>
        <t:Anchor>
          <t:Comment id="1419537692"/>
        </t:Anchor>
        <t:SetTitle title="@JONES Jason - I've changed slightly - is this OK with you"/>
      </t:Event>
      <t:Event id="{D18D12B0-B01E-4935-AF52-7C1E94647251}" time="2024-11-07T09:47:50.15Z">
        <t:Attribution userId="S::jajones@oxford.gov.uk::b9bc19db-1cdd-4c80-8cf4-339430eac3de" userProvider="AD" userName="JONES Jason"/>
        <t:Progress percentComplete="100"/>
      </t:Event>
      <t:Event id="{09092AC1-4AE2-4509-AE0F-4A77A2E0F73B}" time="2024-11-07T09:47:59.169Z">
        <t:Attribution userId="S::jajones@oxford.gov.uk::b9bc19db-1cdd-4c80-8cf4-339430eac3de" userProvider="AD" userName="JONES Ja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2ca3ba-d277-4905-8be5-991aa81053c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72538F6AF72744B62B0BA94D8DC2F1" ma:contentTypeVersion="15" ma:contentTypeDescription="Create a new document." ma:contentTypeScope="" ma:versionID="bb972b8719e00047d3fe9c1f0c9eed28">
  <xsd:schema xmlns:xsd="http://www.w3.org/2001/XMLSchema" xmlns:xs="http://www.w3.org/2001/XMLSchema" xmlns:p="http://schemas.microsoft.com/office/2006/metadata/properties" xmlns:ns3="4a2ca3ba-d277-4905-8be5-991aa81053cd" xmlns:ns4="44445498-b411-41c6-9e56-767ccd12324f" targetNamespace="http://schemas.microsoft.com/office/2006/metadata/properties" ma:root="true" ma:fieldsID="9d0e1ab593ac31b451279a7af8770ad2" ns3:_="" ns4:_="">
    <xsd:import namespace="4a2ca3ba-d277-4905-8be5-991aa81053cd"/>
    <xsd:import namespace="44445498-b411-41c6-9e56-767ccd1232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ca3ba-d277-4905-8be5-991aa8105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45498-b411-41c6-9e56-767ccd1232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C17C4-9508-4854-AF87-074B9DFE8D91}">
  <ds:schemaRefs>
    <ds:schemaRef ds:uri="4a2ca3ba-d277-4905-8be5-991aa81053c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44445498-b411-41c6-9e56-767ccd12324f"/>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3.xml><?xml version="1.0" encoding="utf-8"?>
<ds:datastoreItem xmlns:ds="http://schemas.openxmlformats.org/officeDocument/2006/customXml" ds:itemID="{633048C3-FB6F-494B-B55C-E4CC028F7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ca3ba-d277-4905-8be5-991aa81053cd"/>
    <ds:schemaRef ds:uri="44445498-b411-41c6-9e56-767ccd123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CEBDF-3A1E-4D76-BCF4-6DD491479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2445</Words>
  <Characters>13353</Characters>
  <Application>Microsoft Office Word</Application>
  <DocSecurity>0</DocSecurity>
  <Lines>111</Lines>
  <Paragraphs>31</Paragraphs>
  <ScaleCrop>false</ScaleCrop>
  <Company>Oxford City Council</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jmitchell</dc:creator>
  <cp:keywords>OxCityCouncil Report</cp:keywords>
  <cp:lastModifiedBy>MCCOLLUM Brenda</cp:lastModifiedBy>
  <cp:revision>7</cp:revision>
  <cp:lastPrinted>2015-07-03T21:50:00Z</cp:lastPrinted>
  <dcterms:created xsi:type="dcterms:W3CDTF">2024-11-07T12:09:00Z</dcterms:created>
  <dcterms:modified xsi:type="dcterms:W3CDTF">2024-11-25T09:12:00Z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0x0101009E72538F6AF72744B62B0BA94D8DC2F1</vt:lpwstr>
  </property>
  <property fmtid="{D5CDD505-2E9C-101B-9397-08002B2CF9AE}" pid="3" name="MediaServiceImageTags">
    <vt:lpwstr/>
  </property>
</Properties>
</file>